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AEE8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6156FAEE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7F3006" w14:paraId="5E3A1F72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57804" w14:textId="7E6F9037" w:rsidR="007F3006" w:rsidRPr="001E2409" w:rsidRDefault="001E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409">
              <w:rPr>
                <w:rFonts w:ascii="Times New Roman CYR" w:hAnsi="Times New Roman CYR" w:cs="Times New Roman CYR"/>
                <w:sz w:val="24"/>
                <w:szCs w:val="24"/>
              </w:rPr>
              <w:t>31.12.2025</w:t>
            </w:r>
          </w:p>
        </w:tc>
      </w:tr>
      <w:tr w:rsidR="007F3006" w14:paraId="6FB00E59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4B20" w14:textId="77777777" w:rsidR="007F3006" w:rsidRPr="001E2409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2409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7F3006" w14:paraId="762AC20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2352C2" w14:textId="2BB3B527" w:rsidR="007F3006" w:rsidRPr="001E2409" w:rsidRDefault="001E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409">
              <w:rPr>
                <w:rFonts w:ascii="Times New Roman CYR" w:hAnsi="Times New Roman CYR" w:cs="Times New Roman CYR"/>
                <w:sz w:val="24"/>
                <w:szCs w:val="24"/>
              </w:rPr>
              <w:t>61</w:t>
            </w:r>
          </w:p>
        </w:tc>
      </w:tr>
      <w:tr w:rsidR="007F3006" w14:paraId="744F069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7EEC" w14:textId="77777777" w:rsidR="007F3006" w:rsidRPr="001E2409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2409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16BBB28F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7F3006" w14:paraId="41C75F8B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DCF5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18A940C6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7F3006" w14:paraId="40CF597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26A74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5EBFCD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50EC0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07C7DE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F7A05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7F3006" w14:paraId="496AFFE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6DA7E99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BA45D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E1705A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441A83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5E0500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28E7EEDA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4C2E1E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2362654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10D3BA92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3 квартал 2025 року</w:t>
      </w:r>
    </w:p>
    <w:p w14:paraId="25A936DA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7AA0B6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</w:t>
      </w:r>
    </w:p>
    <w:p w14:paraId="01856AA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765A6861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56342E9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0A926D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7F3006" w14:paraId="6669E77A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A038C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AE708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1F9CC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BCF08F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97B0E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31.12.2025</w:t>
            </w:r>
          </w:p>
        </w:tc>
      </w:tr>
      <w:tr w:rsidR="007F3006" w14:paraId="0589C1C4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22C8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D4196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E774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291CA5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D0BC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10DB220C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7F3006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1B5CF6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76E32A6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79DC20B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312A480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5FB42B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накладених органами державної влади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05EB22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15B23616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670A2B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DCC3F6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32224C66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01B9F0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F6834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82B386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F0D5C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241292E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0737E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396CF8A2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B91F568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4C8D768A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A0978DA" w14:textId="4EF12AB5" w:rsidR="007F3006" w:rsidRDefault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86E328B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0695AED4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4371F201" w14:textId="77777777" w:rsidR="00AB6A03" w:rsidRPr="00113BF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055DE257" w14:textId="77777777" w:rsidR="00AB6A03" w:rsidRPr="00113BF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7DC0CC23" w14:textId="77777777" w:rsidR="00AB6A03" w:rsidRPr="00113BF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7</w:t>
      </w:r>
    </w:p>
    <w:p w14:paraId="6864652E" w14:textId="77777777" w:rsidR="00AB6A03" w:rsidRPr="00113BF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6E8A8953" w14:textId="77777777" w:rsidR="00AB6A03" w:rsidRPr="00113BF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53C31968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29</w:t>
      </w:r>
    </w:p>
    <w:p w14:paraId="7EB2861E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0</w:t>
      </w:r>
    </w:p>
    <w:p w14:paraId="21D016D9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470956AD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Цінні папери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4C4F0E80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 xml:space="preserve">III. Фінансова інформація 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0FEC34AC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Проміжна фінансова звітність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73AD5ABC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Твердження щодо проміжної інформації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5C7EDD99" w14:textId="77777777" w:rsidR="00AB6A03" w:rsidRPr="00941932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4</w:t>
      </w:r>
    </w:p>
    <w:p w14:paraId="0A0827CD" w14:textId="77777777" w:rsidR="00AB6A03" w:rsidRPr="000C4EED" w:rsidRDefault="00AB6A03" w:rsidP="00AB6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Проміжний звіт керівництва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0C4EED">
        <w:rPr>
          <w:rFonts w:ascii="Times New Roman CYR" w:hAnsi="Times New Roman CYR" w:cs="Times New Roman CYR"/>
          <w:sz w:val="24"/>
          <w:szCs w:val="24"/>
          <w:lang w:val="ru-RU"/>
        </w:rPr>
        <w:t>4</w:t>
      </w:r>
    </w:p>
    <w:p w14:paraId="3E97CBB7" w14:textId="77777777" w:rsidR="007F3006" w:rsidRPr="00AB6A03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14:paraId="606EEF84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7F3006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AE77219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3C10E61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7F3006" w14:paraId="7E00C04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3B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D44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8A0C2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7F3006" w14:paraId="58B6C55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65F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E2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438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7F3006" w14:paraId="17D783D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20A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A1E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ADAD1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7F3006" w14:paraId="5E0D519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63A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5B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01A46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7F3006" w14:paraId="44D503A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15C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5FE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1A8C9" w14:textId="75EBA88E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03134, Україна, м. Київ, вул. Миру, 17</w:t>
            </w:r>
          </w:p>
        </w:tc>
      </w:tr>
      <w:tr w:rsidR="007F3006" w14:paraId="2451A6F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24C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F3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DB76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F3006" w14:paraId="7D039DD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133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1B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621E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5B2A33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7F3006" w14:paraId="077901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E2C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CED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5649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133C32E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7F3006" w14:paraId="731A297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6554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1AB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2137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2C92474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02C5305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61DCEA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7F3006" w14:paraId="2CCC265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CC1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ADC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A599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7F3006" w14:paraId="242253C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9BE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131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01EE5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7F3006" w14:paraId="22E5EEA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EC0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E61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DC04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7F3006" w14:paraId="2C22170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89D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924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26CA0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7F3006" w14:paraId="61B0186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849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D8A4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E44B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F3006" w14:paraId="483E00A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BFC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C3A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28BF4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F3006" w14:paraId="1958470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9B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2AE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7C0B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638</w:t>
            </w:r>
          </w:p>
        </w:tc>
      </w:tr>
      <w:tr w:rsidR="007F3006" w14:paraId="2950FBE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B3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0A6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495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2CC9A89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4F55CAC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7F3006" w14:paraId="386953C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7F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3C2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62F0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2C417C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27D1803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2B30A40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0411AFE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359536F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3BBEE04A" w14:textId="484EB926" w:rsidR="00013FB2" w:rsidRDefault="00013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239D1A" w14:textId="77777777" w:rsidR="007F3006" w:rsidRDefault="00013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24AF542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7F3006" w14:paraId="1979379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D4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8A1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DBC09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7F3006" w14:paraId="0CD12E6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FBD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11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2CCD6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7F3006" w14:paraId="11620E7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152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6CA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F7F4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7F3006" w14:paraId="11F707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14D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456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87B35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7F3006" w14:paraId="6FBDB08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904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8B2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642A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7F3006" w14:paraId="4B8F0DF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20B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B9F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4F6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00032112</w:t>
            </w:r>
          </w:p>
        </w:tc>
      </w:tr>
      <w:tr w:rsidR="007F3006" w14:paraId="15EBCAD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532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4B3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C0AE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7F3006" w14:paraId="6175C4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7DA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65A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6A14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7F3006" w14:paraId="67A3EFE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076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F2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C6BF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7F3006" w14:paraId="78E1D45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B80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835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9F934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7F3006" w14:paraId="18ECFFC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289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E7D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0E26A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7F3006" w14:paraId="7EF8848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308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D1C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9052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1F0158E8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1BC8DBB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7F3006" w14:paraId="7A3DCFF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603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FA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4B7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1DA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866E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7F3006" w14:paraId="3587E42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67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E3A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ECB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C05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F38D7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7F3006" w14:paraId="493C6B6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992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853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3CC1BE0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6FA518B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36F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59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03.06.2025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0D5F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2DF1E527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F0D79E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7F3006" w:rsidSect="00AB6A03">
          <w:pgSz w:w="12240" w:h="15840"/>
          <w:pgMar w:top="570" w:right="720" w:bottom="570" w:left="720" w:header="708" w:footer="278" w:gutter="0"/>
          <w:cols w:space="720"/>
          <w:noEndnote/>
        </w:sectPr>
      </w:pPr>
    </w:p>
    <w:p w14:paraId="398CA90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7F3006" w14:paraId="429E73B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641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9BD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913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DC1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BBF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BE4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C76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9AF4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7F3006" w14:paraId="354BD2D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606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1A5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450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FF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28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592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60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87AED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7F3006" w14:paraId="495D1C7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30D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952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37FD8B4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27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D49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4D3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19B1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70C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0FF4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141A798C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6B5A1B0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7F3006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108AEC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15252FC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7F3006" w14:paraId="01E5412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B7D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BFC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93A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B58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7F3006" w14:paraId="5E1A926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4DF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933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5BF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96C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3006" w14:paraId="61980C9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CB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2DD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0CD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7460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7F3006" w14:paraId="7B21581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688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00A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77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F27A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Безпалько Людмила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</w:t>
            </w:r>
            <w:proofErr w:type="spellStart"/>
            <w:r>
              <w:rPr>
                <w:rFonts w:ascii="Times New Roman CYR" w:hAnsi="Times New Roman CYR" w:cs="Times New Roman CYR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7F3006" w14:paraId="05EF565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07C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2C2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7E2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E870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49CF0012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42978B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F3006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6BC83A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091303B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7F3006" w14:paraId="52B23D4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6FB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4AE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17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64B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5C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1D9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77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ED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81AE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C6F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60B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7F3006" w14:paraId="167030E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9CD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FD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B30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870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FDA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BF4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3D6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186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9AB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09C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263E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7F3006" w14:paraId="6276805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AB1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77E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B2C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8E2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213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49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4D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EA9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1D3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085BB55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4147E06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CD6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44C9C26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33EF7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F3006" w14:paraId="0998EA5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A12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738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A17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C23A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89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B8D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8C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A24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88B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542E7ED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16C3E3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CD9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51508AF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F3A3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F3006" w14:paraId="5FC13D2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7C8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135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C0F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5F9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286A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FB0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27B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3C7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A3A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78E1736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7C15831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1F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30.04.2025</w:t>
            </w:r>
          </w:p>
          <w:p w14:paraId="1645252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AF439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F3006" w14:paraId="63F1F94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71F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A2B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A10B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D65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8513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1B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193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правознавства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3AD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CDC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</w:p>
          <w:p w14:paraId="3DFA215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</w:p>
          <w:p w14:paraId="3FDCC1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з корпоративних, юридичних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вiдносин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комплаєнсу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ТОВ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Вiджи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Трейд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42603649 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B62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03E48A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265A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F3006" w14:paraId="38BC5F7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00C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23F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7710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3A3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E7D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E6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677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провiзор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9EE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70E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6AB8AF2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4A2445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 23518596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6E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6F65B0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C05E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2DA82B0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7F3006" w14:paraId="1E92B87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A0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A9A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57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04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01C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CD4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765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540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87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8B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F497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7F3006" w14:paraId="2E9AE7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BA3D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5D8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BA2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FC8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B3D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352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C30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B83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F94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7E4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38A1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7F3006" w14:paraId="5A14D49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8F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8E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79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37C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E33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ED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9CE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51E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25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488542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3B52F67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1D8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13.02.2024</w:t>
            </w:r>
          </w:p>
          <w:p w14:paraId="3D0A7AA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0B5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C2C0B9A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0C60AFA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303"/>
        <w:gridCol w:w="2977"/>
        <w:gridCol w:w="1134"/>
        <w:gridCol w:w="786"/>
        <w:gridCol w:w="1625"/>
        <w:gridCol w:w="1625"/>
        <w:gridCol w:w="1700"/>
        <w:gridCol w:w="1700"/>
      </w:tblGrid>
      <w:tr w:rsidR="007F3006" w14:paraId="319E6716" w14:textId="77777777" w:rsidTr="00AB6A03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18B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4D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D8F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71A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833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A38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737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07644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7F3006" w14:paraId="4DC2BFD3" w14:textId="77777777" w:rsidTr="00AB6A03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7D6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98E8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636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533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5B18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A55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1EC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90E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C3C5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7F3006" w14:paraId="4013D7DC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D7A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A90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D06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FAB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4AD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3C4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F9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ED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192E5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7F3006" w14:paraId="6DB9E614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F05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C0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43B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3D23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C709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E5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7E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9C9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B2998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14:paraId="75FB800B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73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54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46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FB25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EBCD1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79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E84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DEB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B781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14:paraId="54C63196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C16D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FED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261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6CC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2D18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E12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D95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13A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C027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14:paraId="6823D643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1B5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95E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625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3A0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6A9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542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58B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C6B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2C361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14:paraId="3B0153B6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B43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513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88A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D75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F82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DE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23F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77A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F8E8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14:paraId="60FA5198" w14:textId="77777777" w:rsidTr="00AB6A03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444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7B5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402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BF1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866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F293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00C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1,410491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090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49F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7E191ED7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4C10A27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7F3006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CAF5150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0CCF270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021A1862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262857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8E6690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1A58E13B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C54F2D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1B1B8B4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0ABBBE5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F81363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зусиль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охорони здоров'я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кожного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09C16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Україна, 01601,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-середовище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експорту, сприяння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динамiчнiй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iнтернацiоналiзацiї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активну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вдосконалення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iнституцiйного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середовища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дiалогу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04E96E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01601,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сприяння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змiцнення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представництва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Палати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українськими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зарубiжними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зустрiчей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бiзнес-мiсiй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презентацiй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визначення їхньої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видача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зовнiшньоторговельних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супровiд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видавничi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послуги.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0075E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Україна, 01029,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вул.Острозьких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Князiв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європейських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B7480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Членом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 - представництво та захист законних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 -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соцiально-трудовiй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сферах,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сторонами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взаєморозумiнню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D2531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CB991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BBDB9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5FE5305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7B46D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7258FDB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</w:p>
    <w:p w14:paraId="5B0A596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15A5D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виникає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мати право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 або послуги.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ступiнчатої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включає: </w:t>
      </w:r>
    </w:p>
    <w:p w14:paraId="548894A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з замовником;</w:t>
      </w:r>
    </w:p>
    <w:p w14:paraId="16BCB40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0540C3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сподiвається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отримати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365B4B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3FD260F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04DEBC1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Коли (або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величину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6FE1DE4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величина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яку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отримати право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послуг. </w:t>
      </w:r>
    </w:p>
    <w:p w14:paraId="4719E8B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товари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00BB7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замовленням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на збут.</w:t>
      </w:r>
    </w:p>
    <w:p w14:paraId="5F24DD6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поставки.  </w:t>
      </w:r>
    </w:p>
    <w:p w14:paraId="244DDCE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i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коригування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метою урахування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компонента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 або послугу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часом,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року. </w:t>
      </w:r>
    </w:p>
    <w:p w14:paraId="5A21789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перевищує одного року.</w:t>
      </w:r>
    </w:p>
    <w:p w14:paraId="511D1D4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3.2.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64F97C3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Витрати визнаються витратами певного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21E5B9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(наприклад,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виглядi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1AD5A8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</w:t>
      </w:r>
    </w:p>
    <w:p w14:paraId="22767AE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класи:</w:t>
      </w:r>
    </w:p>
    <w:p w14:paraId="3655E0F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Права користування землею;</w:t>
      </w:r>
    </w:p>
    <w:p w14:paraId="17A5010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знаки та патенти;</w:t>
      </w:r>
    </w:p>
    <w:p w14:paraId="30266A4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Програмне забезпечення;</w:t>
      </w:r>
    </w:p>
    <w:p w14:paraId="4CC8DB3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активи.</w:t>
      </w:r>
    </w:p>
    <w:p w14:paraId="508FE07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AA33A9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встановлюється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застосовуються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встановлюються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iндивiдуально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кожного об'єкту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0C0C1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окремому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витрат" за статтею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2037FE7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розробок у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проекти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зв'язку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2A9CC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3.4.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</w:t>
      </w:r>
    </w:p>
    <w:p w14:paraId="40CCA3C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Земля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моделлю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балансова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05B3F95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статтею "Резерв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окремому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об'єкта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переноситься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нерозподiленого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прибутку,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 </w:t>
      </w:r>
    </w:p>
    <w:p w14:paraId="64703AB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введення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08A6C3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надходженнями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965F74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обчислюють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корисної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77CC70A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85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790B8FC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Транспортнi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засоби, машини та обладнання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4B98046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Комп'ютерна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  <w:t>2 роки</w:t>
      </w:r>
    </w:p>
    <w:p w14:paraId="21EEFE4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4-12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689CB49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обслуговування,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для одержання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можуть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покращити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EC9E34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3.5.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Оренда </w:t>
      </w:r>
    </w:p>
    <w:p w14:paraId="0221A28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оренди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МСФЗ (IFRS) 16 "Оренда". </w:t>
      </w:r>
    </w:p>
    <w:p w14:paraId="5F65705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Визначення того, чи є угода орендою, або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ознаки оренди,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конкретного активу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даної угоди.</w:t>
      </w:r>
    </w:p>
    <w:p w14:paraId="5194464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орендаря</w:t>
      </w:r>
    </w:p>
    <w:p w14:paraId="4059D06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оренди, що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509C4CB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яка включає:</w:t>
      </w:r>
    </w:p>
    <w:p w14:paraId="1736FD4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суму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з оренди;</w:t>
      </w:r>
    </w:p>
    <w:p w14:paraId="339EE0D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1234D7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орендарем;</w:t>
      </w:r>
    </w:p>
    <w:p w14:paraId="7260FB5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орендарем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демонтажi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перемiщеннi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якому активи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D9742B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договору, активи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накопичених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 з оренди.</w:t>
      </w:r>
    </w:p>
    <w:p w14:paraId="7EE69DD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ранньої з двох дат:</w:t>
      </w:r>
    </w:p>
    <w:p w14:paraId="704373D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або </w:t>
      </w:r>
    </w:p>
    <w:p w14:paraId="66BFD47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оренди.</w:t>
      </w:r>
    </w:p>
    <w:p w14:paraId="6846156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теперiшньою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зазначену дату.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3B09B5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943260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лiнiйним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який з 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17A05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556EAE0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достроковому припиненню; </w:t>
      </w:r>
    </w:p>
    <w:p w14:paraId="1217119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A0ABFE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709F9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з оренди шляхом: </w:t>
      </w:r>
    </w:p>
    <w:p w14:paraId="60A63C5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зобов'язанню з оренди;</w:t>
      </w:r>
    </w:p>
    <w:p w14:paraId="6464C39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орендних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8AF913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 оренди.</w:t>
      </w:r>
    </w:p>
    <w:p w14:paraId="5262579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оренду як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низькою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(таких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комп'ютери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оренди. </w:t>
      </w:r>
    </w:p>
    <w:p w14:paraId="21C67A8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орендує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6570B2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земельної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переглядаються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самоврядування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державними органами. </w:t>
      </w:r>
    </w:p>
    <w:p w14:paraId="64545C1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3.6.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35CE42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DA955D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4E7F8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участю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 "KORVITA-FARM"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положень його статуту. </w:t>
      </w:r>
    </w:p>
    <w:p w14:paraId="228046D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</w:p>
    <w:p w14:paraId="2E29D72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господарювання. </w:t>
      </w:r>
    </w:p>
    <w:p w14:paraId="162EFBF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</w:t>
      </w:r>
    </w:p>
    <w:p w14:paraId="2384C03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36CEF27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Найкращим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справедливої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3C39B6E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якої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спостережуванi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 з тим же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модель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спостережуваних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вiдразу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активу. </w:t>
      </w:r>
    </w:p>
    <w:p w14:paraId="0D2B4BD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Придбання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продаж.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1090AE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Торгова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така, що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менше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сумою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резерву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62F37E8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</w:p>
    <w:p w14:paraId="3249051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(i)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портфелем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активом.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виникають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-моделей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збиток.</w:t>
      </w:r>
    </w:p>
    <w:p w14:paraId="3655F2B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портфеля)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Товариство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схему виплат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4E284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30 вересня 2025 року Товариство не мало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торгову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позики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тому в подальшому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436B3F8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цим портфелем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Рекласифiкацiя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початку першого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проводила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рекласифiкацiю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70BF7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</w:t>
      </w:r>
    </w:p>
    <w:p w14:paraId="746DEC2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кожну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щодо окремого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або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визнає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весь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моменту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визнання, то 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 за таким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12-мiсячним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 збиткам. </w:t>
      </w:r>
    </w:p>
    <w:p w14:paraId="38098FA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Щодо торговельної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завжди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витрати" в окремому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D8BA5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Списання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52711F5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дiапазону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урахуванням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грошей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базуючись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пiдтверджуванiй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минулi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та прогнози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58CC9CA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списуються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практичнi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необгрунтованiсть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вiдшкодування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фактори:</w:t>
      </w:r>
    </w:p>
    <w:p w14:paraId="3CA3A90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труднощiв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розпорядженнi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</w:t>
      </w:r>
    </w:p>
    <w:p w14:paraId="6D979DD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C8F6BC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55271C3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їх стягнення. </w:t>
      </w:r>
    </w:p>
    <w:p w14:paraId="58716EB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</w:p>
    <w:p w14:paraId="12B190C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410B75B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кредити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торгова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кредиторська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нижчою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ринкової.</w:t>
      </w:r>
    </w:p>
    <w:p w14:paraId="6FAF9E0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збиток) витрат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випуском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3F4E8DB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ставки.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стан. "Витрати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в даному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контекстi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включають в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сплати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сплати,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39FAC9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5FAC705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755EE43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</w:p>
    <w:p w14:paraId="546602A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провести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або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дефолту) i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банкрутства. </w:t>
      </w:r>
    </w:p>
    <w:p w14:paraId="6881618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86E76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068748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024BEAB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357734E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trike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Джерелами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ремонтiв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виступали переважно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кошти.</w:t>
      </w:r>
    </w:p>
    <w:p w14:paraId="39349ED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32BF702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3F842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0BCC3A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році у відповідності до затвердженого Плану робіт з розширення номенклатури продуктів проводитиметься робота по 13 препаратах у 5-и лікарських формах, фармацевтична розробка 9-ти препаратів та здійснюватиметься дослідження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біоеквівалентності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2-х лікарських засобів.</w:t>
      </w:r>
    </w:p>
    <w:p w14:paraId="04AA933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розробку: </w:t>
      </w:r>
    </w:p>
    <w:p w14:paraId="1EDF867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9міс. 2025      9міс. 2024</w:t>
      </w:r>
    </w:p>
    <w:p w14:paraId="003768D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(8 761)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(11 064). </w:t>
      </w:r>
    </w:p>
    <w:p w14:paraId="68BEBF0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B23F3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6930E00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130F308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харчовi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добавки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дезiнфiкуючi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засоби; займає одне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 українських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виготовляє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 та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соцiально-орiєнтованим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Номенклатура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виробляється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48C4950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9661B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7C30B04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 25,6 млн.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E88AF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 1 706,0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млн.грн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27C52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C23AA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4513DA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51,21 грн.;</w:t>
      </w:r>
    </w:p>
    <w:p w14:paraId="4BB7552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4BCF4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1E5BC38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1 572 775 тис. грн.;</w:t>
      </w:r>
    </w:p>
    <w:p w14:paraId="416867E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68128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C9B31D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загальна сума експорту –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212,3</w:t>
      </w:r>
      <w:r>
        <w:rPr>
          <w:rFonts w:ascii="Times New Roman CYR" w:hAnsi="Times New Roman CYR" w:cs="Times New Roman CYR"/>
          <w:sz w:val="24"/>
          <w:szCs w:val="24"/>
        </w:rPr>
        <w:t xml:space="preserve"> млн. грн., частка експорту в загальному доході -13,5%.</w:t>
      </w:r>
    </w:p>
    <w:p w14:paraId="68D4B1F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BB4F7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6E4EED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специфiку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є залежним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коливань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захворювань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пори року. </w:t>
      </w:r>
    </w:p>
    <w:p w14:paraId="37AC4B3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CE0F9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6737E2F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були: ТОВ "БАДМ", ТОВ СП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Оптiмафарм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ЛТД",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MIRMARK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LTD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0A63B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7A10CD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 9 місяців 2025 року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16 країн: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Австралiя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Азербайджан,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Боснiя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Герцеговина, Вірменія,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Грузiя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Казахстан,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Латвiя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Литва, Молдова, Польща, Португалія,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Румунiя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США, Таджикистан, Узбекистан,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Хорватiя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779E3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86,5 %. </w:t>
      </w:r>
    </w:p>
    <w:p w14:paraId="5FFE016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884FD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3E6CB8C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Збутова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дистрибуцiї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транспортування,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пацiєнту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F8E4C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Вибiр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маркетингових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6CD11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579E983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дистриб'юторськi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аптечнi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госпiтальний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збуту, розроблено та введено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мотивацiй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A41E0D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 планується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замовлень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розвантажувальнi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роботи та транспортування. </w:t>
      </w:r>
    </w:p>
    <w:p w14:paraId="4C5BDC7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забезпечення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процесу продаж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визначений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оптимальний обсяг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втрачених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дефектура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маршрутiв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доставки ГЛЗ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вантажомiсткостi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транспортних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26AAC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займається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Для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роботи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провiзорами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працює мережа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медпредставникiв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завданням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фiрм-дистриб'юторiв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iмiджу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забезпечення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впiзнаваностi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зворотного зв'язку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виробника.</w:t>
      </w:r>
    </w:p>
    <w:p w14:paraId="1571BE4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Збут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проводяться аудити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зведення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мiнiмуму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ризику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9D6F8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Обслуговування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CD522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виробником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дистриб'юторами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укладених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8D6A65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B9677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7CC45CE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за  9 місяців 2025 року: </w:t>
      </w:r>
    </w:p>
    <w:p w14:paraId="142E28F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Постачальник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Країна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Предмет поставки</w:t>
      </w:r>
    </w:p>
    <w:p w14:paraId="49E5A9F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Synthon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BV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0AB5A78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  <w:lang w:val="en-US"/>
        </w:rPr>
        <w:t>Prozess</w:t>
      </w:r>
      <w:proofErr w:type="spellEnd"/>
      <w:r w:rsidRPr="00013FB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Pharma</w:t>
      </w:r>
      <w:r w:rsidRPr="00013FB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AG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Швейцарія                сировина</w:t>
      </w:r>
    </w:p>
    <w:p w14:paraId="75E9584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АГРОФАРМ  ТОВ IРПIНЬ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Україна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медикаменти</w:t>
      </w:r>
    </w:p>
    <w:p w14:paraId="13ECCBB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 «СУМИФІТОФАРМАЦІЯ»    Україна                   сировина</w:t>
      </w:r>
    </w:p>
    <w:p w14:paraId="7E5064E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VITAMED SKUPINA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сировина</w:t>
      </w:r>
    </w:p>
    <w:p w14:paraId="6D3CC77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BC10E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7CE0E8B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прiоритетним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напрямом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суспiльства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держави. Потужну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Сьогоднi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найперспективнiших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галузей.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свiтовий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5B4DD32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A9A0F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D91B106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виробництва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фiзико-хiмiчних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хiмiчних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закономiрностями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аналогiчних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машинах та апаратах.</w:t>
      </w:r>
    </w:p>
    <w:p w14:paraId="494105F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8F16A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264951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9 місяців 2025 року, займає 8-му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показником в 1 691 457,9 тис. грн.</w:t>
      </w:r>
    </w:p>
    <w:p w14:paraId="57B7F1A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BDDE1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7CFE1D6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періоді мав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Морiон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обсяг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сегмента фармацевтичного ринку України за 9 місяців 2025 р. склав 146 026 841,6 тис. грн. та 688 311 167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цьому обсяг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склав 53 232 612,4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а в упаковках 425 517 435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відповідності до вищезазначеного частка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фармвиробникiв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становить 36,5%.</w:t>
      </w:r>
    </w:p>
    <w:p w14:paraId="3BBBCF3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таких, як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Фармак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ПрАТ "ФФ Дарниця",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Артерiум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ПАТ "Київський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вiтамiнний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Юрiя-Фарм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ТДВ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Iнтерхiм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Група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Кусум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Acino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Швейцарiя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094B1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93AB72" w14:textId="77777777" w:rsidR="00013FB2" w:rsidRDefault="00013FB2" w:rsidP="00013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4624FD5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розроблено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довгостроковiй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на 2024 - 2026 роки визначено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розробку,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доклiнiчних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17028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C83F9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3D7D0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непередбачуваностi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пошуку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Групи.</w:t>
      </w:r>
    </w:p>
    <w:p w14:paraId="73F2F75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Ринковий ризик</w:t>
      </w:r>
    </w:p>
    <w:p w14:paraId="4B08D25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буде коливатися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Ринковий ризик включає три види ризику: валютний ризик, 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та 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зазнають впливу ринкового ризику,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позики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депозити.</w:t>
      </w:r>
    </w:p>
    <w:p w14:paraId="2C7999B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Валютний ризик </w:t>
      </w:r>
    </w:p>
    <w:p w14:paraId="5009BF1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Група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динамiкою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втрат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коливань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валюти.</w:t>
      </w:r>
    </w:p>
    <w:p w14:paraId="20F5B4F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</w:t>
      </w:r>
    </w:p>
    <w:p w14:paraId="0D2D5EF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плаваючих ставок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A1431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5985C0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Багато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Намiтилася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найпотужнiших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маркетингової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аналогiчної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Ризики коливання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0FE7C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Кредитний ризик </w:t>
      </w:r>
    </w:p>
    <w:p w14:paraId="7A3C096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активами. Група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перевищують 60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415FC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23051BE8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ретельний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60C646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розрiзi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багатьох часових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Довгостроковi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180 та 360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розглядаються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74759EE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trike/>
          <w:sz w:val="24"/>
          <w:szCs w:val="24"/>
        </w:rPr>
      </w:pPr>
    </w:p>
    <w:p w14:paraId="5F5F21E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5FA43DC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жорстку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спрямована на:</w:t>
      </w:r>
    </w:p>
    <w:p w14:paraId="3AE22713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Розвиток наукової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01D773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Напрямок "Стратегії та маркетингу" спрямований на заходи зі збереження ринку збуту за рахунок аудиторії споживачів, лікарів, фармацевтів. У разі прогнозованої сприятливої стабілізації або припинення воєнних дій поетапно буде відновлюватись розробка сайтів для препаратів без рецептурної групи, програми інтернет - просування,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репозиціонування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продуктів заводу згідно з ринковими тенденціями, оновлення портфеля препаратів за рахунок створення дієтичних добавок, препаратів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та ін. Також планується оптимізація співпраці з аптечними мережами, географії покриття, розробка індивідуальних мотиваційних програм, планів та умов в залежності від категоризації за обсягом продажу; впровадження більш широкої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промоційної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 для аптек, оптимізація візитів медичних представників з урахуванням лікарських засобів, що надходять в Україну з гуманітарною допомогою; дистанційне навчання співробітників за основною стратегією просування продуктів ПАТ НВЦ "Борщагівського ХФЗ", постійного моніторингу знань для співробітників регіональної торгівлі, контроль якості візитів та презентацій.</w:t>
      </w:r>
    </w:p>
    <w:p w14:paraId="0EB31E90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введення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нових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A82E3E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Розвиток та вдосконалення ІТ - інфраструктури підприємства.</w:t>
      </w:r>
    </w:p>
    <w:p w14:paraId="3702AF48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Продовження впровадження системи дистанційного навчання за напрямком «Підготовка та розвиток персоналу».</w:t>
      </w:r>
    </w:p>
    <w:p w14:paraId="7D0B1DD1" w14:textId="77777777" w:rsidR="00013FB2" w:rsidRDefault="00013FB2" w:rsidP="00013F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Освоєння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експортного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актуальнiсть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цього напрямку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пояснюється насиченням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фармацевтичного ринку та загостренням конкурентної боротьби.</w:t>
      </w:r>
    </w:p>
    <w:p w14:paraId="2E83D1C3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1302F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660230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проектування та монтаж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когенераційної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установки, будівництво нової виробничої дільниці та споруди подвійного призначення,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6EF5A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орiєнтовно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передбачено 156,0 млн. грн.</w:t>
      </w:r>
    </w:p>
    <w:p w14:paraId="7DD3F2F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9 місяців 2025 року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витрачено 128,5 млн. грн. або 8,2%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чистого доходу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1DF1D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введено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90,7 млн. грн.</w:t>
      </w:r>
    </w:p>
    <w:p w14:paraId="62D45AD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розвиток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були:</w:t>
      </w:r>
    </w:p>
    <w:p w14:paraId="07AEB73E" w14:textId="77777777" w:rsidR="00013FB2" w:rsidRDefault="00013FB2" w:rsidP="00013F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основних засобів;</w:t>
      </w:r>
    </w:p>
    <w:p w14:paraId="54B868AA" w14:textId="77777777" w:rsidR="00013FB2" w:rsidRDefault="00013FB2" w:rsidP="00013F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технічне переоснащення виробничих дільниць;</w:t>
      </w:r>
    </w:p>
    <w:p w14:paraId="419422DD" w14:textId="77777777" w:rsidR="00013FB2" w:rsidRDefault="00013FB2" w:rsidP="00013F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будівництво споруди подвійного призначення; </w:t>
      </w:r>
    </w:p>
    <w:p w14:paraId="6B0A61B5" w14:textId="77777777" w:rsidR="00013FB2" w:rsidRDefault="00013FB2" w:rsidP="00013F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нематеріальних активів;</w:t>
      </w:r>
    </w:p>
    <w:p w14:paraId="08534C67" w14:textId="77777777" w:rsidR="00013FB2" w:rsidRDefault="00013FB2" w:rsidP="00013F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відновлення корпусу після атаки безпілотного літального апарату і т. д.</w:t>
      </w:r>
    </w:p>
    <w:p w14:paraId="7EA6B16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F0C02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3E080B8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03134, Україна, м. Київ, вул. Миру, 17.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земля,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споруди, транспорт, машини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комп'ютерна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орендує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використовуються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55AE395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знаходяться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утримуються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7D9B00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42704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30D94F8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Закони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середовище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можуть швидко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CD70D9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Подальший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розвиток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ефективних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6EF72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 України, проведення АТО,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галузях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зокрема, зростання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енергоносiї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430C16C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Таким чином,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D22C41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F8854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771E5341" w14:textId="4F28D07F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30 вересня 2025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щодо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A3F50">
        <w:rPr>
          <w:rFonts w:ascii="Times New Roman CYR" w:hAnsi="Times New Roman CYR" w:cs="Times New Roman CYR"/>
          <w:sz w:val="24"/>
          <w:szCs w:val="24"/>
        </w:rPr>
        <w:t xml:space="preserve">складали </w:t>
      </w:r>
      <w:r w:rsidR="001E2409" w:rsidRPr="003A3F50">
        <w:rPr>
          <w:rFonts w:ascii="Times New Roman CYR" w:hAnsi="Times New Roman CYR" w:cs="Times New Roman CYR"/>
          <w:sz w:val="24"/>
          <w:szCs w:val="24"/>
          <w:u w:val="single"/>
        </w:rPr>
        <w:t>27 910</w:t>
      </w:r>
      <w:r>
        <w:rPr>
          <w:rFonts w:ascii="Times New Roman CYR" w:hAnsi="Times New Roman CYR" w:cs="Times New Roman CYR"/>
          <w:sz w:val="24"/>
          <w:szCs w:val="24"/>
        </w:rPr>
        <w:t xml:space="preserve"> тис. грн</w:t>
      </w:r>
    </w:p>
    <w:p w14:paraId="616CC99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7F868B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595BAA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071E4215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- 638,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- 15.</w:t>
      </w:r>
    </w:p>
    <w:p w14:paraId="2ED9D162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- 279846 тис. грн.,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75426774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F87B897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14.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C13E9D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648BEAFE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C309EF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6360F2BC" w14:textId="77777777" w:rsidR="00013FB2" w:rsidRDefault="00013FB2" w:rsidP="00013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25153A6F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A6F746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7F3006" w14:paraId="03E56F4F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DF6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E3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0CA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DE0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821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9D53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7F3006" w14:paraId="4A451B66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D26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EBA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DDF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984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D6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35212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7F3006" w14:paraId="2708740F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F02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2D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073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A86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942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E0F2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39A0767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26F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781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0A8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E19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6A2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E2865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363566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D66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B882" w14:textId="77777777" w:rsidR="007F3006" w:rsidRPr="003A3F50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A3F50"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2892" w14:textId="77777777" w:rsidR="007F3006" w:rsidRPr="003A3F50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A3F50"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3E9B" w14:textId="103FC4F4" w:rsidR="007F3006" w:rsidRPr="003A3F50" w:rsidRDefault="003A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963DA0" w:rsidRPr="003A3F50">
              <w:rPr>
                <w:rFonts w:ascii="Times New Roman CYR" w:hAnsi="Times New Roman CYR" w:cs="Times New Roman CYR"/>
              </w:rPr>
              <w:t>.08.202</w:t>
            </w:r>
            <w:r w:rsidR="00C072FF" w:rsidRPr="003A3F5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AAC7" w14:textId="77777777" w:rsidR="007F3006" w:rsidRPr="003A3F50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A3F50"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3A3F50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3A3F50"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B98D7" w14:textId="72290734" w:rsidR="007F3006" w:rsidRPr="003A3F50" w:rsidRDefault="003A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963DA0" w:rsidRPr="003A3F50">
              <w:rPr>
                <w:rFonts w:ascii="Times New Roman CYR" w:hAnsi="Times New Roman CYR" w:cs="Times New Roman CYR"/>
              </w:rPr>
              <w:t>.08.20</w:t>
            </w:r>
            <w:r w:rsidR="00C072FF" w:rsidRPr="003A3F50">
              <w:rPr>
                <w:rFonts w:ascii="Times New Roman CYR" w:hAnsi="Times New Roman CYR" w:cs="Times New Roman CYR"/>
              </w:rPr>
              <w:t>30</w:t>
            </w:r>
          </w:p>
        </w:tc>
      </w:tr>
      <w:tr w:rsidR="007F3006" w14:paraId="4C110D7E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C51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EFB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BEF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B28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848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87A84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99D569E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780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B6C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C1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93F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60F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9FBCA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6356D678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A3E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606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616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3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814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F0D1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149EA6BD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97A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D3C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6B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02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71F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0998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56F5A35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A992951" w14:textId="77777777" w:rsidR="00051384" w:rsidRDefault="00051384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3BE469E9" w14:textId="653DB016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107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1260"/>
        <w:gridCol w:w="1080"/>
        <w:gridCol w:w="1260"/>
        <w:gridCol w:w="1080"/>
        <w:gridCol w:w="1260"/>
        <w:gridCol w:w="1082"/>
      </w:tblGrid>
      <w:tr w:rsidR="007F3006" w:rsidRPr="00051384" w14:paraId="53CE7C40" w14:textId="77777777" w:rsidTr="00051384">
        <w:trPr>
          <w:trHeight w:val="200"/>
        </w:trPr>
        <w:tc>
          <w:tcPr>
            <w:tcW w:w="371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F480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98B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392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BB8D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7F3006" w:rsidRPr="00051384" w14:paraId="0BBC3DE1" w14:textId="77777777" w:rsidTr="00051384">
        <w:trPr>
          <w:trHeight w:val="200"/>
        </w:trPr>
        <w:tc>
          <w:tcPr>
            <w:tcW w:w="37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77EC" w14:textId="77777777" w:rsidR="007F3006" w:rsidRPr="00051384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55F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347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070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A31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7E9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C8EB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7F3006" w:rsidRPr="00051384" w14:paraId="11B8999A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9F2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80C6" w14:textId="3384B816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EB17" w14:textId="7147A2BB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6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D64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44A1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3 376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7802" w14:textId="3A20FC80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1 34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B19BF4" w14:textId="7EC00346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061</w:t>
            </w:r>
          </w:p>
        </w:tc>
      </w:tr>
      <w:tr w:rsidR="007F3006" w:rsidRPr="00051384" w14:paraId="76456141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5C62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FCF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A4C3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925 960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B18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0022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DBA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96DA6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925 960</w:t>
            </w:r>
          </w:p>
        </w:tc>
      </w:tr>
      <w:tr w:rsidR="007F3006" w:rsidRPr="00051384" w14:paraId="3CD83D64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F18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85B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5D6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177 497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FA6E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F28C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137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3866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177 497</w:t>
            </w:r>
          </w:p>
        </w:tc>
      </w:tr>
      <w:tr w:rsidR="007F3006" w:rsidRPr="00051384" w14:paraId="669B55F2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F79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935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20 353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DAE" w14:textId="5A07E880" w:rsidR="007F3006" w:rsidRPr="00051384" w:rsidRDefault="001E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4 372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2AF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0C8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3 376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D690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26 766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6104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37 748</w:t>
            </w:r>
          </w:p>
        </w:tc>
      </w:tr>
      <w:tr w:rsidR="007F3006" w:rsidRPr="00051384" w14:paraId="0DFE9605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232A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04EE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164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3FF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AE7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F841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0941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</w:tr>
      <w:tr w:rsidR="007F3006" w:rsidRPr="00051384" w14:paraId="086099C7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F8D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EEDB" w14:textId="42A56725" w:rsidR="007F3006" w:rsidRPr="00051384" w:rsidRDefault="001E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  <w:r w:rsidR="00963DA0"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716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26CB" w14:textId="59284BD5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0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0E6A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DC1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2130" w14:textId="7AC98FAB" w:rsidR="007F3006" w:rsidRPr="00051384" w:rsidRDefault="001E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  <w:r w:rsidR="00963DA0"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716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C42F8A" w14:textId="506FA5D8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074</w:t>
            </w:r>
          </w:p>
        </w:tc>
      </w:tr>
      <w:tr w:rsidR="007F3006" w:rsidRPr="00051384" w14:paraId="7FB73929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1632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7120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C74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6CF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84EA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C84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D5C36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6344C64B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D0C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52DD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4E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96D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6A8E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A91E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AD471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658A8DF5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23E1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5982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CA3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85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146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1CC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B25C4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01564735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CBB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11E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D6B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C1E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084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FAA3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79023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1C794BAA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6663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1B0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D90D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84B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434C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770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8455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770A76E3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748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1D1E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BDE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DF2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A70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C78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6B00C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27DAE60E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C824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F9A7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36B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C30C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A8F5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93B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4FF0E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7F3006" w:rsidRPr="00051384" w14:paraId="39702A9C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69C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9DBC" w14:textId="255BA124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EFBE" w14:textId="1D0C320D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685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1993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F62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3 376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9A54" w14:textId="082493BF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341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1E2409" w:rsidRPr="00051384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AD3FAA" w14:textId="71F95EC5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Pr="0005138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3F56CD" w:rsidRPr="00051384">
              <w:rPr>
                <w:rFonts w:ascii="Times New Roman CYR" w:hAnsi="Times New Roman CYR" w:cs="Times New Roman CYR"/>
                <w:sz w:val="20"/>
                <w:szCs w:val="20"/>
              </w:rPr>
              <w:t>061</w:t>
            </w:r>
          </w:p>
        </w:tc>
      </w:tr>
      <w:tr w:rsidR="007F3006" w14:paraId="5BA2B674" w14:textId="77777777" w:rsidTr="00051384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71F3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633180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: </w:t>
            </w:r>
          </w:p>
          <w:p w14:paraId="7E01D591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Будiвлi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та споруди</w:t>
            </w:r>
            <w:r w:rsidRPr="00051384">
              <w:rPr>
                <w:rFonts w:ascii="Times New Roman CYR" w:hAnsi="Times New Roman CYR" w:cs="Times New Roman CYR"/>
              </w:rPr>
              <w:tab/>
              <w:t xml:space="preserve">85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50A9949F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 w:rsidRPr="00051384"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605C66C6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467EF858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засоби</w:t>
            </w:r>
            <w:r w:rsidRPr="00051384"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72B3D1DB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станом на 30.09.2025 р.:  2675300 тис. грн. </w:t>
            </w:r>
          </w:p>
          <w:p w14:paraId="05CD01F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. На початок 2025 року складав 0,49 та за дев'ять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мiсяцiв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30 вересня 2025 року - 0,51. </w:t>
            </w:r>
          </w:p>
          <w:p w14:paraId="1254E1E9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 xml:space="preserve">Сума нарахованого зносу станом на 30.09.2025 р.: 1359239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>.</w:t>
            </w:r>
          </w:p>
          <w:p w14:paraId="7A1ACB5D" w14:textId="77777777" w:rsidR="007F3006" w:rsidRPr="00051384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51384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станом на 30.09.2025 р.: 1316061 тис. грн. використовуються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обсязi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. </w:t>
            </w:r>
          </w:p>
          <w:p w14:paraId="0C7E12C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51384"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ХФЗ" станом на 30 вересня 2025 року,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пiд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 w:rsidRPr="00051384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51384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14:paraId="0C3E6466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49857A" w14:textId="77777777" w:rsidR="00051384" w:rsidRDefault="00051384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509E51E1" w14:textId="1F937DB0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зобов'язання та забезпечення особи</w:t>
      </w:r>
    </w:p>
    <w:tbl>
      <w:tblPr>
        <w:tblW w:w="10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2"/>
        <w:gridCol w:w="1440"/>
        <w:gridCol w:w="1480"/>
        <w:gridCol w:w="1940"/>
        <w:gridCol w:w="1328"/>
      </w:tblGrid>
      <w:tr w:rsidR="007F3006" w14:paraId="0E47609B" w14:textId="77777777" w:rsidTr="00051384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00C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A1B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B1E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EA6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12E3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7F3006" w14:paraId="39DC3056" w14:textId="77777777" w:rsidTr="00051384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E59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80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0DE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E90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4B6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0F653B8C" w14:textId="77777777" w:rsidTr="00051384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21F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FE37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6F5FFC8D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A270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0D3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6F4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1687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D0628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1E83532D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999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842B1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3006" w14:paraId="2E0E4766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94C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6F4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FB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24C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7A8A0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62AF5C1E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DC8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59D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70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D9C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9C4FD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30EE6C46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DE8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2BD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D8C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40C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832B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4724EBD8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92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F12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2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91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C5CBB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5A1A48F1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986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A16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E15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7B0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BBA7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2473EF01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18A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5CA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CC3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C6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0742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2D417240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CB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D18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3188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14 862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25B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83CC4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01422D6B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D7C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58B8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59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10 930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B22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0693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0398B7BE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16B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86A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82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2 898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9E3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5F94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0B5A60AB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A82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8A0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496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52E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462085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4F4A4B5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25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7F3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301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4E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C99F6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2E61C837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847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21A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7A8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248 913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86D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86CC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F3006" w14:paraId="246CE1F9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A9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B425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DDF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92 096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FD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FE83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3CF83B0E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CC5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4ED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5A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13 956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657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EC213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3F9B2460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4D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52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62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3 359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F74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68D40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3E0A835E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5F2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1531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DC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9 587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3E5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1335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68AC3108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77E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A394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2E7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8D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73515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6CAC3425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E7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8D9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42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97 961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EAA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1ED5F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FDD5471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91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A5B0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51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26 359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D8B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4FD7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1F0D8650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371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1E23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E1B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4 570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B10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B007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12A96CFC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5D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довгостроковими зобов'язаннями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477C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8A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D1A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61390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0DB3CDDD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AD2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8F0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471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FA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5241D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44D7EDE4" w14:textId="77777777" w:rsidTr="00051384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D50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035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953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263 775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47C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9E881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2ACE1042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5271F1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F3006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BEA0CB4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7F3006" w14:paraId="37D6C867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F653A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BD5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17E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A9EC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7F3006" w14:paraId="757D003D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D2DE8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A2F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4B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2F3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817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303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64D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FB23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7F3006" w14:paraId="080E42AA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25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9732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5E9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F610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B06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3910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EE1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A320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F3006" w14:paraId="438977AE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1A7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50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55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13759812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9D4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1166187,1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75F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E9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14852969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02D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1104912,5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46146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71,1</w:t>
            </w:r>
          </w:p>
        </w:tc>
      </w:tr>
      <w:tr w:rsidR="007F3006" w14:paraId="38D84C5B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13E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0F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537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11655688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E55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525257,4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E2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27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11523383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01D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329697,4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8155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21,2</w:t>
            </w:r>
          </w:p>
        </w:tc>
      </w:tr>
    </w:tbl>
    <w:p w14:paraId="5CF6020B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B948AB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F3006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325BEC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108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4367"/>
        <w:gridCol w:w="5900"/>
      </w:tblGrid>
      <w:tr w:rsidR="007F3006" w14:paraId="47DB6799" w14:textId="77777777" w:rsidTr="00051384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DA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94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8337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7F3006" w14:paraId="1598C84D" w14:textId="77777777" w:rsidTr="00051384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2CB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B4B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946FF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7F3006" w14:paraId="76A64E1B" w14:textId="77777777" w:rsidTr="00051384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FCD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161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14A90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61,2</w:t>
            </w:r>
          </w:p>
        </w:tc>
      </w:tr>
      <w:tr w:rsidR="007F3006" w14:paraId="219AA6BE" w14:textId="77777777" w:rsidTr="00051384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61B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5F5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змiннi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AF0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18,3</w:t>
            </w:r>
          </w:p>
        </w:tc>
      </w:tr>
      <w:tr w:rsidR="007F3006" w14:paraId="4E021F6A" w14:textId="77777777" w:rsidTr="00051384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7AE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D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1890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16,2</w:t>
            </w:r>
          </w:p>
        </w:tc>
      </w:tr>
    </w:tbl>
    <w:p w14:paraId="427C11DB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CC5CB10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1094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41"/>
      </w:tblGrid>
      <w:tr w:rsidR="007F3006" w14:paraId="201C6181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E9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322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7F3006" w14:paraId="6B886EB6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44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9AE1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634921AC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2B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C24B6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16535EA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AF3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84BE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7F3006" w14:paraId="42B2057C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06A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5735A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7F3006" w14:paraId="327E474E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3A4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D22D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7F3006" w14:paraId="1AAB342D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53D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6B35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F3006" w14:paraId="123D913E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69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4AEA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F3006" w14:paraId="18A9D22A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B7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39BB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EC99AD9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537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E337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7F3006" w14:paraId="24D9C0D5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544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BA1F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F20BAA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15A638B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7F3006" w14:paraId="1A8A4BD4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7F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CB0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468BB6E4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4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41"/>
      </w:tblGrid>
      <w:tr w:rsidR="007F3006" w14:paraId="68B9BF83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2F7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CE55A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7F3006" w14:paraId="7BAAA284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F37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DAF4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006CF96D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8CB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88F44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468E97B4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764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2B7E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7F3006" w14:paraId="4C22B18D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A0F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215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7F3006" w14:paraId="705C532F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46D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5618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7F3006" w14:paraId="21298714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20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4FDC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7F3006" w14:paraId="4D1053FF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C96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F5F8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7F3006" w14:paraId="695AEB4E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3FF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8E66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7F3006" w14:paraId="16D37161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07E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F5BF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7F3006" w14:paraId="39141CF8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649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DB4B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03BB074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7F3006" w14:paraId="0B346292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23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96AD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73B631CF" w14:textId="746AFBC4" w:rsidR="00051384" w:rsidRDefault="00051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74991DA" w14:textId="77777777" w:rsidR="00051384" w:rsidRDefault="00051384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10F3CF78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4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41"/>
      </w:tblGrid>
      <w:tr w:rsidR="007F3006" w14:paraId="0502CCD8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C9F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CCB9D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7F3006" w14:paraId="6A5C5C73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3C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7D53D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71106FC7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9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241397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198D9F1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230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56F3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7F3006" w14:paraId="0FC5FE68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AC2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2E19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7F3006" w14:paraId="22CF3BD1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A25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AA7A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7F3006" w14:paraId="45C6B240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7B9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058A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7F3006" w14:paraId="7E0D6FF5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241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2038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7F3006" w14:paraId="5266AA37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131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2375B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7F3006" w14:paraId="213E1CAD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F28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1B44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7F3006" w14:paraId="74DB999F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EFB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E20C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7A5C7D6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4944F0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7F3006" w14:paraId="64B120A9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6DB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F9B56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7A3ED120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4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41"/>
      </w:tblGrid>
      <w:tr w:rsidR="007F3006" w14:paraId="6DB8280E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C1B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BA7F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7F3006" w14:paraId="205D69BF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93A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E3D2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289DE4E9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970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4F528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0C49F1AF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8F4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C0EA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7F3006" w14:paraId="10B10A50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8D1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36358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7F3006" w14:paraId="53CFE15A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95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1DE0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7F3006" w14:paraId="07B8CF75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A9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52FD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F3006" w14:paraId="3BB5C915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5D2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14F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F3006" w14:paraId="08F4CEB0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FC8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78EF9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41108404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DC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B0F8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7F3006" w14:paraId="66502D67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79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3F96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F03AD5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3B1D18E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7F3006" w14:paraId="4C207F40" w14:textId="77777777" w:rsidTr="00051384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B51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10F3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4C1E7E33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8DC3D9F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F3006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434E776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7F3006" w14:paraId="21DBE3B4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A0668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CF2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3A3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C28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677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149E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7F3006" w14:paraId="235DE424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BB3541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AF52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92D0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0DFB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168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D3D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0CC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9056C8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F3006" w14:paraId="42E4C89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F65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645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4E0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D4F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C6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59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403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BE342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F3006" w14:paraId="3DFA68C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B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670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6548B75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1E4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D90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3EC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275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26A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073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7F3006" w14:paraId="364504A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994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41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75EEF9D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A97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E7F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A8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3BC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F7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ED10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7F3006" w14:paraId="7CB8C41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6D1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A67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39008D1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4A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8BD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62A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B9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C8D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607D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5747642C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BFBD496" w14:textId="77777777" w:rsidR="00051384" w:rsidRDefault="00051384">
      <w:pP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br w:type="page"/>
      </w:r>
    </w:p>
    <w:p w14:paraId="68DAC047" w14:textId="343763C9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7F3006" w14:paraId="008B3E6D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4AE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0AA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C1B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73A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6B64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7F3006" w14:paraId="0171AA6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6886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91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252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88E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6FF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7F3006" w14:paraId="1DA3DD6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E96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953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E970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123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DC7C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7F3006" w14:paraId="66F99C9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B07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51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330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B6D8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35DA0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7F3006" w14:paraId="61F350E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98E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CF7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2ED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D38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04EC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7F3006" w14:paraId="3B78402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C2C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4F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4A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86E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D8D53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0F42C3BC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3BEBC67" w14:textId="77777777" w:rsidR="00051384" w:rsidRDefault="00051384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0F5BBE6B" w14:textId="17174BAC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4DA4CE69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468F6D2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7F3006" w14:paraId="09F869C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722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FFF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3AC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515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374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229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C51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9E3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E7E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77D8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7F3006" w14:paraId="05A7F6C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01B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3CF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E93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B00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0C1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1C7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690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180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4A6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9BE5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7F3006" w14:paraId="0DEFA8C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351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A1E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9EE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827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50E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0FD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C98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595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773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912B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7F3006" w14:paraId="34CCF224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EFB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DF40F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35722CD0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2E0A51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7F3006" w14:paraId="2ED24F6E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AEB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EAC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E29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DE6B9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7F3006" w14:paraId="1A39E89D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050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B89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204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2E57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3006" w14:paraId="41436901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957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EC8B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631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B6376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52201B9D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D0299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7F3006" w14:paraId="13C2794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00E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C4E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F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D99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D33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A82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A57D3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7F3006" w14:paraId="69C371F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9D1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59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B01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8ABB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152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CE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C71B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7F3006" w14:paraId="49A2ABD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ED9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BB0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DB5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B1D5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23A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81E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49D5935E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183561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A7B2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7F3006" w14:paraId="5000265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D41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405D3" w14:textId="77777777" w:rsidR="007F3006" w:rsidRDefault="007F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30CC209A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0B844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7F3006" w14:paraId="0F4A777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1A1E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BC9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EC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16E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A2F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DD4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0CA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B8783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7F3006" w14:paraId="671BF33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51580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951C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233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A0EB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EB8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36A1A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0DE2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0377E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F3006" w14:paraId="79607BF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F0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BB0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21A8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1E9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858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E4ED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F57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F878F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F3006" w14:paraId="56A89AA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A01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50F49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2E7842D4" w14:textId="77777777" w:rsidR="007F3006" w:rsidRDefault="009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1D41D821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20D2D34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F3006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E8BD4BE" w14:textId="77777777" w:rsidR="007F3006" w:rsidRPr="00051384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51384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656D6759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51384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4F2F78C5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https://bcpp.com.ua/shareholders</w:t>
      </w:r>
    </w:p>
    <w:p w14:paraId="0EF8A755" w14:textId="77777777" w:rsidR="00051384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6B390065" w14:textId="2502EAF1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https://bcpp.com.ua/files/protocol/zvit_2025/XBRL/3q2025_23518596.zip</w:t>
      </w:r>
    </w:p>
    <w:p w14:paraId="04D112F0" w14:textId="3C37697C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3q2025_23518596.zip</w:t>
      </w:r>
    </w:p>
    <w:p w14:paraId="63D0388F" w14:textId="3615CE6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5</w:t>
      </w:r>
      <w:r>
        <w:rPr>
          <w:rFonts w:ascii="Times New Roman CYR" w:eastAsia="Times New Roman" w:hAnsi="Times New Roman CYR" w:cs="Times New Roman CYR"/>
          <w:sz w:val="24"/>
          <w:szCs w:val="24"/>
        </w:rPr>
        <w:t>2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КБ (</w:t>
      </w:r>
      <w:r>
        <w:rPr>
          <w:rFonts w:ascii="Times New Roman CYR" w:eastAsia="Times New Roman" w:hAnsi="Times New Roman CYR" w:cs="Times New Roman CYR"/>
          <w:sz w:val="24"/>
          <w:szCs w:val="24"/>
        </w:rPr>
        <w:t>53 717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4616A8B4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0926F7CD" w14:textId="77777777" w:rsidR="00051384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95495CCDC0FBAA228C0CE7693D6753CF773C6EBEE8CA50FE4057F762A0802CCF</w:t>
      </w:r>
    </w:p>
    <w:p w14:paraId="7E015D76" w14:textId="4CF844D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https://portal.frs.gov.ua/PublicData/PublicDataSubmissionPack.aspx?submission_pack_version_id=182636</w:t>
      </w:r>
    </w:p>
    <w:p w14:paraId="156B72AD" w14:textId="74F9908D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3q2025_23518596.html</w:t>
      </w:r>
    </w:p>
    <w:p w14:paraId="561B2599" w14:textId="39F54AA1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</w:t>
      </w:r>
      <w:r>
        <w:rPr>
          <w:rFonts w:ascii="Times New Roman CYR" w:eastAsia="Times New Roman" w:hAnsi="Times New Roman CYR" w:cs="Times New Roman CYR"/>
          <w:sz w:val="24"/>
          <w:szCs w:val="24"/>
        </w:rPr>
        <w:t>307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КБ (</w:t>
      </w:r>
      <w:r>
        <w:rPr>
          <w:rFonts w:ascii="Times New Roman CYR" w:eastAsia="Times New Roman" w:hAnsi="Times New Roman CYR" w:cs="Times New Roman CYR"/>
          <w:sz w:val="24"/>
          <w:szCs w:val="24"/>
        </w:rPr>
        <w:t>315 352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6A7E34BF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06BA7F3F" w14:textId="386184BF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18116E9175B2A19DF0D02AFEAFF84EBFA49D874C8F38CA7E499491017E7090A9</w:t>
      </w:r>
    </w:p>
    <w:p w14:paraId="3BB05107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6215BC5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Консолiдована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https://bcpp.com.ua/shareholders</w:t>
      </w:r>
    </w:p>
    <w:p w14:paraId="78CA99C9" w14:textId="7D79B494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https://bcpp.com.ua/files/protocol/zvit_2025/XBRL/3q2025_23518596%20cons.zip</w:t>
      </w:r>
    </w:p>
    <w:p w14:paraId="0F7AB2BA" w14:textId="0590D784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3q2025_23518596 cons.zip</w:t>
      </w:r>
    </w:p>
    <w:p w14:paraId="7127430A" w14:textId="764F5D48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 5</w:t>
      </w:r>
      <w:r>
        <w:rPr>
          <w:rFonts w:ascii="Times New Roman CYR" w:eastAsia="Times New Roman" w:hAnsi="Times New Roman CYR" w:cs="Times New Roman CYR"/>
          <w:sz w:val="24"/>
          <w:szCs w:val="24"/>
        </w:rPr>
        <w:t>5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</w:rPr>
        <w:t>5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КБ (56 </w:t>
      </w:r>
      <w:r>
        <w:rPr>
          <w:rFonts w:ascii="Times New Roman CYR" w:eastAsia="Times New Roman" w:hAnsi="Times New Roman CYR" w:cs="Times New Roman CYR"/>
          <w:sz w:val="24"/>
          <w:szCs w:val="24"/>
        </w:rPr>
        <w:t>844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0A43BCB0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63AA6EB2" w14:textId="6FBDB26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B3B6F2EBCF75C402E7306B7D5F761F19BED222C38FDDEB4BF8003AD4D32ADD12</w:t>
      </w:r>
    </w:p>
    <w:p w14:paraId="1C659CCD" w14:textId="67BD093E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Консолiдована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https://portal.frs.gov.ua/PublicData/PublicDataSubmissionPack.aspx?submission_pack_version_id=168528</w:t>
      </w:r>
    </w:p>
    <w:p w14:paraId="013D1ACD" w14:textId="585018BE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 </w:t>
      </w: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3q2025_23518596 cons.html</w:t>
      </w:r>
    </w:p>
    <w:p w14:paraId="2039D209" w14:textId="3446CC4F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33</w:t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КБ (3</w:t>
      </w:r>
      <w:r>
        <w:rPr>
          <w:rFonts w:ascii="Times New Roman CYR" w:eastAsia="Times New Roman" w:hAnsi="Times New Roman CYR" w:cs="Times New Roman CYR"/>
          <w:sz w:val="24"/>
          <w:szCs w:val="24"/>
        </w:rPr>
        <w:t>42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>772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653B7983" w14:textId="77777777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35B17E8E" w14:textId="04924C65" w:rsidR="00051384" w:rsidRPr="00620D6C" w:rsidRDefault="00051384" w:rsidP="0005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51384">
        <w:rPr>
          <w:rFonts w:ascii="Times New Roman CYR" w:eastAsia="Times New Roman" w:hAnsi="Times New Roman CYR" w:cs="Times New Roman CYR"/>
          <w:sz w:val="24"/>
          <w:szCs w:val="24"/>
        </w:rPr>
        <w:t>62BFD54D57B20A4C1C563D4635527D6CE3EF93B94F86C56F81F689A020ADED8D</w:t>
      </w:r>
    </w:p>
    <w:p w14:paraId="19A761A4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597EF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1568678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3-й квартал 2025 року,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 вересня 2025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59714D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526AFF" w14:textId="77777777" w:rsidR="00051384" w:rsidRDefault="00051384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3F5C7216" w14:textId="774EC116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58918B09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628FB853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3E9F431C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EDE65C8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F396FA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7FF3CF41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4762FA08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1EE3D7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2B178E44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(3 квартал 2025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77F1B1F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803577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20DF52D9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F49D045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0D35DB89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6AA0B30A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7FBB501E" w14:textId="77777777" w:rsidR="007F3006" w:rsidRDefault="0096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FD8BCE" w14:textId="77777777" w:rsidR="007F3006" w:rsidRDefault="007F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E92FE2" w14:textId="77777777" w:rsidR="00963DA0" w:rsidRDefault="00963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63DA0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FACD" w14:textId="77777777" w:rsidR="00E229F3" w:rsidRDefault="00E229F3" w:rsidP="00AB6A03">
      <w:pPr>
        <w:spacing w:after="0" w:line="240" w:lineRule="auto"/>
      </w:pPr>
      <w:r>
        <w:separator/>
      </w:r>
    </w:p>
  </w:endnote>
  <w:endnote w:type="continuationSeparator" w:id="0">
    <w:p w14:paraId="54E7759D" w14:textId="77777777" w:rsidR="00E229F3" w:rsidRDefault="00E229F3" w:rsidP="00AB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465232"/>
      <w:docPartObj>
        <w:docPartGallery w:val="Page Numbers (Bottom of Page)"/>
        <w:docPartUnique/>
      </w:docPartObj>
    </w:sdtPr>
    <w:sdtContent>
      <w:p w14:paraId="1A6FEA05" w14:textId="64D8D97C" w:rsidR="00AB6A03" w:rsidRDefault="00AB6A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D4764" w14:textId="77777777" w:rsidR="00AB6A03" w:rsidRDefault="00AB6A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491F" w14:textId="77777777" w:rsidR="00E229F3" w:rsidRDefault="00E229F3" w:rsidP="00AB6A03">
      <w:pPr>
        <w:spacing w:after="0" w:line="240" w:lineRule="auto"/>
      </w:pPr>
      <w:r>
        <w:separator/>
      </w:r>
    </w:p>
  </w:footnote>
  <w:footnote w:type="continuationSeparator" w:id="0">
    <w:p w14:paraId="7836EBC7" w14:textId="77777777" w:rsidR="00E229F3" w:rsidRDefault="00E229F3" w:rsidP="00AB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AB"/>
    <w:multiLevelType w:val="hybridMultilevel"/>
    <w:tmpl w:val="9D868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12FC"/>
    <w:multiLevelType w:val="hybridMultilevel"/>
    <w:tmpl w:val="D6FC3B6E"/>
    <w:lvl w:ilvl="0" w:tplc="8072F3F0">
      <w:start w:val="14"/>
      <w:numFmt w:val="bullet"/>
      <w:lvlText w:val="-"/>
      <w:lvlJc w:val="left"/>
      <w:pPr>
        <w:ind w:left="435" w:hanging="360"/>
      </w:pPr>
      <w:rPr>
        <w:rFonts w:ascii="Times New Roman CYR" w:eastAsiaTheme="minorEastAsia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B2"/>
    <w:rsid w:val="00013FB2"/>
    <w:rsid w:val="00051384"/>
    <w:rsid w:val="001E2409"/>
    <w:rsid w:val="003A3F50"/>
    <w:rsid w:val="003F56CD"/>
    <w:rsid w:val="007F3006"/>
    <w:rsid w:val="008E2C20"/>
    <w:rsid w:val="00951209"/>
    <w:rsid w:val="00963DA0"/>
    <w:rsid w:val="00AB6A03"/>
    <w:rsid w:val="00C072FF"/>
    <w:rsid w:val="00C876BC"/>
    <w:rsid w:val="00CE0D1D"/>
    <w:rsid w:val="00E229F3"/>
    <w:rsid w:val="00E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83F815"/>
  <w14:defaultImageDpi w14:val="0"/>
  <w15:docId w15:val="{2CAB865B-28DC-4093-82A8-6CFEDB72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FB2"/>
    <w:pPr>
      <w:spacing w:line="254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6A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A03"/>
  </w:style>
  <w:style w:type="paragraph" w:styleId="a6">
    <w:name w:val="footer"/>
    <w:basedOn w:val="a"/>
    <w:link w:val="a7"/>
    <w:uiPriority w:val="99"/>
    <w:unhideWhenUsed/>
    <w:rsid w:val="00AB6A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50743</Words>
  <Characters>28925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2025-12-31T08:48:00Z</dcterms:created>
  <dcterms:modified xsi:type="dcterms:W3CDTF">2025-12-31T08:48:00Z</dcterms:modified>
</cp:coreProperties>
</file>