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705A3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</w:t>
      </w:r>
    </w:p>
    <w:p w14:paraId="299FFA3C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FC6662" w14:paraId="7D432561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94F963A" w14:textId="0A0AEA0F" w:rsidR="00FC6662" w:rsidRDefault="000A2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18.12.2025</w:t>
            </w:r>
          </w:p>
        </w:tc>
      </w:tr>
      <w:tr w:rsidR="00FC6662" w14:paraId="10699F37" w14:textId="77777777">
        <w:tblPrEx>
          <w:tblBorders>
            <w:bottom w:val="none" w:sz="0" w:space="0" w:color="auto"/>
          </w:tblBorders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DF34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 реєстрації особою електронного документа)</w:t>
            </w:r>
          </w:p>
        </w:tc>
      </w:tr>
      <w:tr w:rsidR="00FC6662" w14:paraId="0E96BE3C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F0DC6F7" w14:textId="2FC9AF2B" w:rsidR="00FC6662" w:rsidRDefault="000A2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56</w:t>
            </w:r>
          </w:p>
        </w:tc>
      </w:tr>
      <w:tr w:rsidR="00FC6662" w14:paraId="2D7D8BF8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0CC8B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14:paraId="446F815C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FC6662" w14:paraId="34971DD3" w14:textId="77777777"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27F3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</w:t>
            </w:r>
          </w:p>
        </w:tc>
      </w:tr>
    </w:tbl>
    <w:p w14:paraId="245FEE03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FC6662" w14:paraId="67CC658A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F3AB21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Генеральний директор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9CE333B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6903E57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6B47CA0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51DEAF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Мандзюк Є.С.</w:t>
            </w:r>
          </w:p>
        </w:tc>
      </w:tr>
      <w:tr w:rsidR="00FC6662" w14:paraId="182A91AD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27604E7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4AF7503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4A28D3F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(місце для накладання електронного підпису уповноваженої особи емітента/особи,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B59CAA9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5EC073E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(прізвище та ініціали керівника або уповноваженої особи)</w:t>
            </w:r>
          </w:p>
        </w:tc>
      </w:tr>
    </w:tbl>
    <w:p w14:paraId="342354E4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4A7C8DC3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Проміжний звіт</w:t>
      </w:r>
    </w:p>
    <w:p w14:paraId="27575100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Публiчне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товариство "Науково-виробничий центр "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Борщагiвський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хiмiко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>-фармацевтичний завод" (23518596)</w:t>
      </w:r>
    </w:p>
    <w:p w14:paraId="5BCB3AB3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 3 квартал 2024 року</w:t>
      </w:r>
    </w:p>
    <w:p w14:paraId="1E97CCBB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4095E465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Рішення про затвердження проміжного звіту: , </w:t>
      </w:r>
    </w:p>
    <w:p w14:paraId="5167D4F3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здійснює діяльність з оприлюднення регульованої інформації: Державна установа "Агентство з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України", 21676262, Україна, DR/00001/APA</w:t>
      </w:r>
    </w:p>
    <w:p w14:paraId="17615B73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здійснює подання звітності та/або звітних даних до Національної комісії з цінних паперів та фондового ринку: Державна установа "Агентство з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України", 21676262, Україна, DR/00002/ARM</w:t>
      </w:r>
    </w:p>
    <w:p w14:paraId="0CFE1735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ACD0A39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Дані про дату та місце оприлюднення проміжної інформації: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4949"/>
        <w:gridCol w:w="236"/>
        <w:gridCol w:w="1669"/>
      </w:tblGrid>
      <w:tr w:rsidR="00FC6662" w14:paraId="6AB2C139" w14:textId="77777777"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0DE87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Проміжну інформацію розміщено на власному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емітента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B9D4E63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CD52EB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http://bcpp.com.ua/shareholders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96DFAF8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B41E9CA" w14:textId="16248CA0" w:rsidR="00FC6662" w:rsidRDefault="000A2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18.12.2025</w:t>
            </w:r>
          </w:p>
        </w:tc>
      </w:tr>
      <w:tr w:rsidR="00FC6662" w14:paraId="79185B80" w14:textId="77777777"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AB958D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F952700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6109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(URL-адреса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BB7C97A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9059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14:paraId="367B4233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FC6662">
          <w:footerReference w:type="default" r:id="rId7"/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31A76C61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Пояснення щодо розкриття інформації</w:t>
      </w:r>
    </w:p>
    <w:p w14:paraId="7EF59482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затверджувався, тому що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документах Товариства немає вимоги затверджувати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 такої вимоги.</w:t>
      </w:r>
    </w:p>
    <w:p w14:paraId="2E4F462C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за якими надається забезпечення не надається, тому що Товариство не є особою, яка надає забезпечення.</w:t>
      </w:r>
    </w:p>
    <w:p w14:paraId="3243E512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зобов'язаннями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1B7AA45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корпоративного секретаря не надається, тому що корпоративний секретар не обирався.</w:t>
      </w:r>
    </w:p>
    <w:p w14:paraId="2E0C04E4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E2460FE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4A9B2A8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папери.</w:t>
      </w:r>
    </w:p>
    <w:p w14:paraId="2D37D4B0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забезпечення випуску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1E72EF1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об'єкта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цiльових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виконання зобов'язань за якими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 об'єкта (частини об'єкта) житлового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D00A693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придбання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придбавало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D0312C6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9F3E057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0,1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такого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що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0,1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немає.</w:t>
      </w:r>
    </w:p>
    <w:p w14:paraId="2BF23C1A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огляду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перевiрялася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суб'єком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6F88AC3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попереднє надання згоди на вчинення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вчинення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щодо вчинення яких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заiнтересованiсть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правочини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вчинялися.</w:t>
      </w:r>
    </w:p>
    <w:p w14:paraId="07F0221A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поручителя (страховика/гаранта),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забезпечення випуску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(за кожним суб'єктом забезпечення окремо) не надається, тому що 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випуск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2258E8F5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зв'язку з тим, що в Додатку 10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якому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засновникiв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 </w:t>
      </w:r>
    </w:p>
    <w:p w14:paraId="47EDCA9B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15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сiчня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1997 року засновниками Товариства були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718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088280B7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190AF3F" w14:textId="77777777" w:rsidR="00FC6662" w:rsidRDefault="00BC64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br w:type="page"/>
      </w:r>
      <w:r w:rsidR="00E27C44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Зміст</w:t>
      </w:r>
    </w:p>
    <w:p w14:paraId="769FB14A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до проміжного звіту</w:t>
      </w:r>
    </w:p>
    <w:p w14:paraId="37B86AA1" w14:textId="77777777" w:rsidR="00CB55FC" w:rsidRPr="00302371" w:rsidRDefault="00CB55FC" w:rsidP="00CB5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302371">
        <w:rPr>
          <w:rFonts w:ascii="Times New Roman CYR" w:eastAsia="Times New Roman" w:hAnsi="Times New Roman CYR" w:cs="Times New Roman CYR"/>
          <w:sz w:val="24"/>
          <w:szCs w:val="24"/>
        </w:rPr>
        <w:t>I. Загальна інформація</w:t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</w:rPr>
        <w:t>4</w:t>
      </w:r>
    </w:p>
    <w:p w14:paraId="38DF65A0" w14:textId="77777777" w:rsidR="00CB55FC" w:rsidRPr="00302371" w:rsidRDefault="00CB55FC" w:rsidP="00CB5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302371">
        <w:rPr>
          <w:rFonts w:ascii="Times New Roman CYR" w:eastAsia="Times New Roman" w:hAnsi="Times New Roman CYR" w:cs="Times New Roman CYR"/>
          <w:sz w:val="24"/>
          <w:szCs w:val="24"/>
        </w:rPr>
        <w:t>1. Ідентифікаційні дані та загальна інформація</w:t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</w:rPr>
        <w:t>4</w:t>
      </w:r>
    </w:p>
    <w:p w14:paraId="6D4A7B5F" w14:textId="77777777" w:rsidR="00CB55FC" w:rsidRPr="00302371" w:rsidRDefault="00CB55FC" w:rsidP="00CB5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302371">
        <w:rPr>
          <w:rFonts w:ascii="Times New Roman CYR" w:eastAsia="Times New Roman" w:hAnsi="Times New Roman CYR" w:cs="Times New Roman CYR"/>
          <w:sz w:val="24"/>
          <w:szCs w:val="24"/>
        </w:rPr>
        <w:t>2. Органи управління та посадові особи. Організаційна структура</w:t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</w:rPr>
        <w:t>7</w:t>
      </w:r>
    </w:p>
    <w:p w14:paraId="5D6BD9F4" w14:textId="77777777" w:rsidR="00CB55FC" w:rsidRPr="00302371" w:rsidRDefault="00CB55FC" w:rsidP="00CB5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302371">
        <w:rPr>
          <w:rFonts w:ascii="Times New Roman CYR" w:eastAsia="Times New Roman" w:hAnsi="Times New Roman CYR" w:cs="Times New Roman CYR"/>
          <w:sz w:val="24"/>
          <w:szCs w:val="24"/>
        </w:rPr>
        <w:t>3. Структура власності</w:t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</w:rPr>
        <w:t>11</w:t>
      </w:r>
    </w:p>
    <w:p w14:paraId="0D955BF5" w14:textId="77777777" w:rsidR="00CB55FC" w:rsidRPr="00302371" w:rsidRDefault="00CB55FC" w:rsidP="00CB5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302371">
        <w:rPr>
          <w:rFonts w:ascii="Times New Roman CYR" w:eastAsia="Times New Roman" w:hAnsi="Times New Roman CYR" w:cs="Times New Roman CYR"/>
          <w:sz w:val="24"/>
          <w:szCs w:val="24"/>
        </w:rPr>
        <w:t>4. Опис господарської та фінансової діяльності</w:t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</w:rPr>
        <w:t>11</w:t>
      </w:r>
    </w:p>
    <w:p w14:paraId="35F57236" w14:textId="231766A3" w:rsidR="00CB55FC" w:rsidRPr="00302371" w:rsidRDefault="00CB55FC" w:rsidP="00CB5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302371">
        <w:rPr>
          <w:rFonts w:ascii="Times New Roman CYR" w:eastAsia="Times New Roman" w:hAnsi="Times New Roman CYR" w:cs="Times New Roman CYR"/>
          <w:sz w:val="24"/>
          <w:szCs w:val="24"/>
        </w:rPr>
        <w:t>5. Участь в інших особах</w:t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</w:rPr>
        <w:t>30</w:t>
      </w:r>
    </w:p>
    <w:p w14:paraId="242B61E7" w14:textId="6830AC8C" w:rsidR="00CB55FC" w:rsidRPr="00302371" w:rsidRDefault="00CB55FC" w:rsidP="00CB5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302371">
        <w:rPr>
          <w:rFonts w:ascii="Times New Roman CYR" w:eastAsia="Times New Roman" w:hAnsi="Times New Roman CYR" w:cs="Times New Roman CYR"/>
          <w:sz w:val="24"/>
          <w:szCs w:val="24"/>
        </w:rPr>
        <w:t>6. Відокремлені підрозділи</w:t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</w:rPr>
        <w:t>31</w:t>
      </w:r>
    </w:p>
    <w:p w14:paraId="2F579E0E" w14:textId="11BFDF4A" w:rsidR="00CB55FC" w:rsidRPr="00302371" w:rsidRDefault="00CB55FC" w:rsidP="00CB5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302371">
        <w:rPr>
          <w:rFonts w:ascii="Times New Roman CYR" w:eastAsia="Times New Roman" w:hAnsi="Times New Roman CYR" w:cs="Times New Roman CYR"/>
          <w:sz w:val="24"/>
          <w:szCs w:val="24"/>
        </w:rPr>
        <w:t>II. Інформація щодо капіталу та цінних паперів</w:t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</w:rPr>
        <w:t>32</w:t>
      </w:r>
    </w:p>
    <w:p w14:paraId="4F574F55" w14:textId="76990AD6" w:rsidR="00CB55FC" w:rsidRPr="00302371" w:rsidRDefault="00CB55FC" w:rsidP="00CB5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1</w:t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>. Цінні папери</w:t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</w:rPr>
        <w:t>32</w:t>
      </w:r>
    </w:p>
    <w:p w14:paraId="638B5E52" w14:textId="77777777" w:rsidR="00CB55FC" w:rsidRPr="00302371" w:rsidRDefault="00CB55FC" w:rsidP="00CB5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302371">
        <w:rPr>
          <w:rFonts w:ascii="Times New Roman CYR" w:eastAsia="Times New Roman" w:hAnsi="Times New Roman CYR" w:cs="Times New Roman CYR"/>
          <w:sz w:val="24"/>
          <w:szCs w:val="24"/>
        </w:rPr>
        <w:t xml:space="preserve">III. Фінансова інформація </w:t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</w:rPr>
        <w:t>34</w:t>
      </w:r>
    </w:p>
    <w:p w14:paraId="74AE65F3" w14:textId="77777777" w:rsidR="00CB55FC" w:rsidRPr="00302371" w:rsidRDefault="00CB55FC" w:rsidP="00CB5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1</w:t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r w:rsidRPr="00896387">
        <w:rPr>
          <w:rFonts w:ascii="Times New Roman CYR" w:eastAsia="Times New Roman" w:hAnsi="Times New Roman CYR" w:cs="Times New Roman CYR"/>
          <w:sz w:val="24"/>
          <w:szCs w:val="24"/>
        </w:rPr>
        <w:t>Проміжна фінансова звітність</w:t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</w:rPr>
        <w:t>34</w:t>
      </w:r>
    </w:p>
    <w:p w14:paraId="618A0646" w14:textId="77777777" w:rsidR="00CB55FC" w:rsidRPr="00302371" w:rsidRDefault="00CB55FC" w:rsidP="00CB5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3</w:t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r w:rsidRPr="00896387">
        <w:rPr>
          <w:rFonts w:ascii="Times New Roman CYR" w:eastAsia="Times New Roman" w:hAnsi="Times New Roman CYR" w:cs="Times New Roman CYR"/>
          <w:sz w:val="24"/>
          <w:szCs w:val="24"/>
        </w:rPr>
        <w:t>Твердження щодо проміжної інформації</w:t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</w:rPr>
        <w:t>34</w:t>
      </w:r>
    </w:p>
    <w:p w14:paraId="071F93F5" w14:textId="77777777" w:rsidR="00CB55FC" w:rsidRPr="00302371" w:rsidRDefault="00CB55FC" w:rsidP="00CB5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302371">
        <w:rPr>
          <w:rFonts w:ascii="Times New Roman CYR" w:eastAsia="Times New Roman" w:hAnsi="Times New Roman CYR" w:cs="Times New Roman CYR"/>
          <w:sz w:val="24"/>
          <w:szCs w:val="24"/>
        </w:rPr>
        <w:t>IV. Нефінансова інформація</w:t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</w:rPr>
        <w:t>35</w:t>
      </w:r>
    </w:p>
    <w:p w14:paraId="617BE063" w14:textId="77777777" w:rsidR="00CB55FC" w:rsidRPr="00302371" w:rsidRDefault="00CB55FC" w:rsidP="00CB5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896387">
        <w:rPr>
          <w:rFonts w:ascii="Times New Roman CYR" w:eastAsia="Times New Roman" w:hAnsi="Times New Roman CYR" w:cs="Times New Roman CYR"/>
          <w:sz w:val="24"/>
          <w:szCs w:val="24"/>
        </w:rPr>
        <w:t>1. Проміжний звіт керівництва</w:t>
      </w:r>
      <w:r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302371">
        <w:rPr>
          <w:rFonts w:ascii="Times New Roman CYR" w:eastAsia="Times New Roman" w:hAnsi="Times New Roman CYR" w:cs="Times New Roman CYR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</w:rPr>
        <w:t>35</w:t>
      </w:r>
    </w:p>
    <w:p w14:paraId="671A2B85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20486D9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FC6662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32B62480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I. Загальна інформація</w:t>
      </w:r>
    </w:p>
    <w:p w14:paraId="10A30B1C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Ідентифікаційні дані та загальна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FC6662" w14:paraId="3FC3F3D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DE50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7E55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A5B2A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-фармацевтичний завод"</w:t>
            </w:r>
          </w:p>
        </w:tc>
      </w:tr>
      <w:tr w:rsidR="00FC6662" w14:paraId="045189A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EF91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5D93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Скорочене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7AFD3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ПАТ НВЦ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ХФЗ"</w:t>
            </w:r>
          </w:p>
        </w:tc>
      </w:tr>
      <w:tr w:rsidR="00FC6662" w14:paraId="384AA7EE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A1DD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6881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D061F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23518596</w:t>
            </w:r>
          </w:p>
        </w:tc>
      </w:tr>
      <w:tr w:rsidR="00FC6662" w14:paraId="7B4E935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92A9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356C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державної реєстрації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A57A39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07.05.1997</w:t>
            </w:r>
          </w:p>
        </w:tc>
      </w:tr>
      <w:tr w:rsidR="00FC6662" w14:paraId="033E439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6E75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4D42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Місцезнаходження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9CED09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03134, Україна,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м. Київ, Миру, 17</w:t>
            </w:r>
          </w:p>
        </w:tc>
      </w:tr>
      <w:tr w:rsidR="00FC6662" w14:paraId="1821E9D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2EE9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7D35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для листування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F2F807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C6662" w14:paraId="09BCE4D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3BAC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116D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05C3E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Емітент</w:t>
            </w:r>
          </w:p>
          <w:p w14:paraId="1338EBD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Особа, яка надає забезпечення</w:t>
            </w:r>
          </w:p>
        </w:tc>
      </w:tr>
      <w:tr w:rsidR="00FC6662" w14:paraId="7C376D2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49D8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BC9B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 має статус підприємства, що становить суспільний інтерес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B72A0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Так</w:t>
            </w:r>
          </w:p>
          <w:p w14:paraId="39D35A2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Ні</w:t>
            </w:r>
          </w:p>
        </w:tc>
      </w:tr>
      <w:tr w:rsidR="00FC6662" w14:paraId="1EFDA0B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448B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6679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Категорія підприємства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005D2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Велике</w:t>
            </w:r>
          </w:p>
          <w:p w14:paraId="2C035AF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Середнє</w:t>
            </w:r>
          </w:p>
          <w:p w14:paraId="17C5AAD9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Мале</w:t>
            </w:r>
          </w:p>
          <w:p w14:paraId="1537F6A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Мікро</w:t>
            </w:r>
          </w:p>
        </w:tc>
      </w:tr>
      <w:tr w:rsidR="00FC6662" w14:paraId="731FFCB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B234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47D3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електронної пошти для офіційного каналу зв'язку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54391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bhfz@bhfz.com.ua</w:t>
            </w:r>
          </w:p>
        </w:tc>
      </w:tr>
      <w:tr w:rsidR="00FC6662" w14:paraId="5ECE022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F5AB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6FA2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A7EA2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http://bcpp.com.ua</w:t>
            </w:r>
          </w:p>
        </w:tc>
      </w:tr>
      <w:tr w:rsidR="00FC6662" w14:paraId="6B34DC55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4756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9640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Номер телефону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CE8E4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(044) 205-03-10</w:t>
            </w:r>
          </w:p>
        </w:tc>
      </w:tr>
      <w:tr w:rsidR="00FC6662" w14:paraId="5B22A5A3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59EF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04DC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Статутний капітал, грн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13F82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19035489</w:t>
            </w:r>
          </w:p>
        </w:tc>
      </w:tr>
      <w:tr w:rsidR="00FC6662" w14:paraId="5880568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9390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DA11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(часток/паїв) у статутному капіталі, що належить державі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29467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FC6662" w14:paraId="12B9E08F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3A3E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487C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48A3A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FC6662" w14:paraId="1F67585F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88099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A65B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Середня кількість працівників за звітний період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3C17B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651</w:t>
            </w:r>
          </w:p>
        </w:tc>
      </w:tr>
      <w:tr w:rsidR="00FC6662" w14:paraId="568B2297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5FC8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5432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0DD18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21.20 - Виробництво фармацевтичних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препаратiв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матерiалiв</w:t>
            </w:r>
            <w:proofErr w:type="spellEnd"/>
          </w:p>
          <w:p w14:paraId="522D4319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46.46 - Оптова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фармацевтичними товарами</w:t>
            </w:r>
          </w:p>
          <w:p w14:paraId="2D74025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47.73 -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Роздрiбна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фармацевтичними товарами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спецiалiзованих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магазинах</w:t>
            </w:r>
          </w:p>
        </w:tc>
      </w:tr>
      <w:tr w:rsidR="00FC6662" w14:paraId="61653E2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AEA4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A5D1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Структура управління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92172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Однорівнева</w:t>
            </w:r>
            <w:proofErr w:type="spellEnd"/>
          </w:p>
          <w:p w14:paraId="268EAD7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Дворівнева</w:t>
            </w:r>
          </w:p>
          <w:p w14:paraId="4AA1DC4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 xml:space="preserve">Інше: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статуту органами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є:</w:t>
            </w:r>
          </w:p>
          <w:p w14:paraId="3E8CDAD9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збори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3CB49A1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Наглядова рада;</w:t>
            </w:r>
          </w:p>
          <w:p w14:paraId="778917D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одноосiбний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виконавчий орган - Генеральний директор.</w:t>
            </w:r>
          </w:p>
        </w:tc>
      </w:tr>
    </w:tbl>
    <w:p w14:paraId="040DE896" w14:textId="77777777" w:rsidR="00BC64AA" w:rsidRDefault="00BC64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4A07F7C" w14:textId="77777777" w:rsidR="00FC6662" w:rsidRDefault="00BC64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14:paraId="3C478C57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Банки, що обслуговують особу: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3500"/>
        <w:gridCol w:w="6465"/>
      </w:tblGrid>
      <w:tr w:rsidR="00146D1E" w:rsidRPr="00146D1E" w14:paraId="7B754347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BDEBF4" w14:textId="77777777" w:rsidR="00146D1E" w:rsidRP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46D1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1F6BD" w14:textId="77777777" w:rsidR="00146D1E" w:rsidRP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46D1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Повне найменування (в </w:t>
            </w:r>
            <w:proofErr w:type="spellStart"/>
            <w:r w:rsidRPr="00146D1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т.ч</w:t>
            </w:r>
            <w:proofErr w:type="spellEnd"/>
            <w:r w:rsidRPr="00146D1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337752" w14:textId="77777777" w:rsidR="00146D1E" w:rsidRP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46D1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АКЦIОНЕРНЕ ТОВАРИСТВО "РАЙФФАЙЗЕН БАНК"</w:t>
            </w:r>
          </w:p>
        </w:tc>
      </w:tr>
      <w:tr w:rsidR="00146D1E" w:rsidRPr="00146D1E" w14:paraId="5BCCAF58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2E75D" w14:textId="77777777" w:rsidR="00146D1E" w:rsidRP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2BC44" w14:textId="77777777" w:rsidR="00146D1E" w:rsidRP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46D1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4D629B" w14:textId="77777777" w:rsidR="00146D1E" w:rsidRP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46D1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14305909</w:t>
            </w:r>
          </w:p>
        </w:tc>
      </w:tr>
      <w:tr w:rsidR="00146D1E" w:rsidRPr="00146D1E" w14:paraId="3E4D3BA0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FB768" w14:textId="77777777" w:rsidR="00146D1E" w:rsidRP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BF4F7" w14:textId="77777777" w:rsidR="00146D1E" w:rsidRP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46D1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515597" w14:textId="77777777" w:rsidR="00146D1E" w:rsidRP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46D1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UA833003350000000026004225462</w:t>
            </w:r>
          </w:p>
        </w:tc>
      </w:tr>
      <w:tr w:rsidR="00146D1E" w:rsidRPr="00146D1E" w14:paraId="07B8B717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544B0" w14:textId="77777777" w:rsidR="00146D1E" w:rsidRP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8EC6D" w14:textId="77777777" w:rsidR="00146D1E" w:rsidRP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46D1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72FF4A" w14:textId="77777777" w:rsidR="00146D1E" w:rsidRP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46D1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гривня</w:t>
            </w:r>
          </w:p>
        </w:tc>
      </w:tr>
      <w:tr w:rsidR="00146D1E" w:rsidRPr="00146D1E" w14:paraId="15A16DE7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54B4D6" w14:textId="77777777" w:rsidR="00146D1E" w:rsidRP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46D1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A5A85" w14:textId="77777777" w:rsidR="00146D1E" w:rsidRP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46D1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Повне найменування (в </w:t>
            </w:r>
            <w:proofErr w:type="spellStart"/>
            <w:r w:rsidRPr="00146D1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т.ч</w:t>
            </w:r>
            <w:proofErr w:type="spellEnd"/>
            <w:r w:rsidRPr="00146D1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5F85EC" w14:textId="77777777" w:rsidR="00146D1E" w:rsidRP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46D1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АКЦIОНЕРНЕ ТОВАРИСТВО "ДЕРЖАВНИЙ ЕКСПОРТНО-IМПОРТНИЙ БАНК УКРАЇНИ"</w:t>
            </w:r>
          </w:p>
        </w:tc>
      </w:tr>
      <w:tr w:rsidR="00146D1E" w:rsidRPr="00146D1E" w14:paraId="335F544B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1EF1D" w14:textId="77777777" w:rsidR="00146D1E" w:rsidRP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F0E36" w14:textId="77777777" w:rsidR="00146D1E" w:rsidRP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46D1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11365C" w14:textId="77777777" w:rsidR="00146D1E" w:rsidRP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46D1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00032112</w:t>
            </w:r>
          </w:p>
        </w:tc>
      </w:tr>
      <w:tr w:rsidR="00146D1E" w:rsidRPr="00146D1E" w14:paraId="09D31AFF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19829" w14:textId="77777777" w:rsidR="00146D1E" w:rsidRP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751B5" w14:textId="77777777" w:rsidR="00146D1E" w:rsidRP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46D1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F66D7C" w14:textId="77777777" w:rsidR="00146D1E" w:rsidRP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46D1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UA863223130000026003010056112</w:t>
            </w:r>
          </w:p>
        </w:tc>
      </w:tr>
      <w:tr w:rsidR="00146D1E" w:rsidRPr="00146D1E" w14:paraId="64795285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F6050" w14:textId="77777777" w:rsidR="00146D1E" w:rsidRP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DE8EF8" w14:textId="77777777" w:rsidR="00146D1E" w:rsidRP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46D1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1F7286" w14:textId="77777777" w:rsidR="00146D1E" w:rsidRP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46D1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гривня</w:t>
            </w:r>
          </w:p>
        </w:tc>
      </w:tr>
      <w:tr w:rsidR="00146D1E" w:rsidRPr="00146D1E" w14:paraId="49D76C69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5F9455" w14:textId="77777777" w:rsidR="00146D1E" w:rsidRP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46D1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CA3673" w14:textId="77777777" w:rsidR="00146D1E" w:rsidRP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46D1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Повне найменування (в </w:t>
            </w:r>
            <w:proofErr w:type="spellStart"/>
            <w:r w:rsidRPr="00146D1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т.ч</w:t>
            </w:r>
            <w:proofErr w:type="spellEnd"/>
            <w:r w:rsidRPr="00146D1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97D51C" w14:textId="77777777" w:rsidR="00146D1E" w:rsidRP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46D1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АКЦIОНЕРНЕ ТОВАРИСТВО "ПЕРШИЙ УКРАЇНСЬКИЙ МIЖНАРОДНИЙ БАНК"</w:t>
            </w:r>
          </w:p>
        </w:tc>
      </w:tr>
      <w:tr w:rsidR="00146D1E" w:rsidRPr="00146D1E" w14:paraId="4AE9C832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6DECB" w14:textId="77777777" w:rsidR="00146D1E" w:rsidRP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E0C1A" w14:textId="77777777" w:rsidR="00146D1E" w:rsidRP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46D1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33309" w14:textId="77777777" w:rsidR="00146D1E" w:rsidRP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46D1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14282829</w:t>
            </w:r>
          </w:p>
        </w:tc>
      </w:tr>
      <w:tr w:rsidR="00146D1E" w:rsidRPr="00146D1E" w14:paraId="25F0FD22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1FD9C" w14:textId="77777777" w:rsidR="00146D1E" w:rsidRP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AFC2D" w14:textId="77777777" w:rsidR="00146D1E" w:rsidRP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46D1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890E28" w14:textId="77777777" w:rsidR="00146D1E" w:rsidRP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46D1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UA873348510000000026007255506</w:t>
            </w:r>
          </w:p>
        </w:tc>
      </w:tr>
      <w:tr w:rsidR="00146D1E" w:rsidRPr="00146D1E" w14:paraId="0714DEF4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BCAB5" w14:textId="77777777" w:rsidR="00146D1E" w:rsidRP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0C54ED" w14:textId="77777777" w:rsidR="00146D1E" w:rsidRP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46D1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2D367" w14:textId="77777777" w:rsidR="00146D1E" w:rsidRP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46D1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гривня</w:t>
            </w:r>
          </w:p>
        </w:tc>
      </w:tr>
    </w:tbl>
    <w:p w14:paraId="24BFAE1B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886FEB9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рейтингове агентство: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2500"/>
        <w:gridCol w:w="2500"/>
        <w:gridCol w:w="2500"/>
      </w:tblGrid>
      <w:tr w:rsidR="00FC6662" w14:paraId="376FDFD6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6F2E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№ з/п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1266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Повне найменування, країна місцезнаходження, посилання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агентства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B879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Ознака рейтингового агентства (уповноважене, міжнародне)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CEEC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визначення або оновлення рейтингової оцінки особи або цінних паперів особи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6193C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Рівень кредитного рейтингу особи або цінних паперів особи</w:t>
            </w:r>
          </w:p>
        </w:tc>
      </w:tr>
      <w:tr w:rsidR="00FC6662" w14:paraId="5F542CB1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AEFB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AB9D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91539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FFF8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ABA7E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</w:tr>
      <w:tr w:rsidR="00FC6662" w14:paraId="43A7705D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366D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DB04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"Кредит - Рейтинг"</w:t>
            </w:r>
          </w:p>
          <w:p w14:paraId="24EF9F8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Україна</w:t>
            </w:r>
          </w:p>
          <w:p w14:paraId="17C6F54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https://www.credit-rating.ua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D51D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уповноважене рейтингове агентство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A11F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Оновлення рейтингової оцінки емітента 21.05.2024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8F9DD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uaAA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+</w:t>
            </w:r>
          </w:p>
        </w:tc>
      </w:tr>
    </w:tbl>
    <w:p w14:paraId="098E743C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90DCA1C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FC6662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610F635F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Судові справи: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200"/>
        <w:gridCol w:w="2200"/>
        <w:gridCol w:w="2200"/>
        <w:gridCol w:w="2200"/>
        <w:gridCol w:w="2200"/>
        <w:gridCol w:w="2200"/>
        <w:gridCol w:w="1650"/>
      </w:tblGrid>
      <w:tr w:rsidR="00FC6662" w14:paraId="2DB7B278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40D2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867C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Номер справи та дата відкриття провадження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13CD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 суду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8DDB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Позивач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FE51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Відповідач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3A09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Третя особа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535A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Позовні вимоги (в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 їх розмір)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17E4F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Стан розгляду справи</w:t>
            </w:r>
          </w:p>
        </w:tc>
      </w:tr>
      <w:tr w:rsidR="00FC6662" w14:paraId="0C670ED4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67E2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2B93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785F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AFD3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01DF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9518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ABED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E7A9B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</w:tr>
      <w:tr w:rsidR="00FC6662" w14:paraId="59F5DE9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9D1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5D3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910/4707/21</w:t>
            </w:r>
          </w:p>
          <w:p w14:paraId="161132F9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26.03.2021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D425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Господарський суд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мiста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Києва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D85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ПрАТ "Фармацевтична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фiрма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"Дарниця"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iнтересах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892C9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Група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осiб</w:t>
            </w:r>
            <w:proofErr w:type="spellEnd"/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106C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6CC2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Стягнення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коштiв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розмiрi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197 695 166, 98 грн.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F415D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процесi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розгляду</w:t>
            </w:r>
          </w:p>
        </w:tc>
      </w:tr>
    </w:tbl>
    <w:p w14:paraId="48696E18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0FB178BF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Штрафні санкції щодо особи:</w:t>
      </w:r>
    </w:p>
    <w:tbl>
      <w:tblPr>
        <w:tblW w:w="154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200"/>
        <w:gridCol w:w="2200"/>
        <w:gridCol w:w="2200"/>
        <w:gridCol w:w="4400"/>
        <w:gridCol w:w="3850"/>
      </w:tblGrid>
      <w:tr w:rsidR="00FC6662" w14:paraId="667BC986" w14:textId="77777777" w:rsidTr="00CB55FC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1EBB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B908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Номер та дата рішення, яким накладено штрафну санкцію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4AA3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Орган, який наклав штрафну санкцію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1EC26" w14:textId="77777777" w:rsidR="00FC6662" w:rsidRPr="00146D1E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46D1E">
              <w:rPr>
                <w:rFonts w:ascii="Times New Roman CYR" w:hAnsi="Times New Roman CYR" w:cs="Times New Roman CYR"/>
                <w:sz w:val="20"/>
                <w:szCs w:val="20"/>
              </w:rPr>
              <w:t>Суть санкції (та її розмір, якщо застосовується)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D392F" w14:textId="77777777" w:rsidR="00FC6662" w:rsidRPr="00146D1E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46D1E">
              <w:rPr>
                <w:rFonts w:ascii="Times New Roman CYR" w:hAnsi="Times New Roman CYR" w:cs="Times New Roman CYR"/>
                <w:sz w:val="20"/>
                <w:szCs w:val="20"/>
              </w:rPr>
              <w:t>Підстава для накладення санкції (з посиланням на відповідні норми законодавства)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E78F92" w14:textId="77777777" w:rsidR="00FC6662" w:rsidRPr="00146D1E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46D1E">
              <w:rPr>
                <w:rFonts w:ascii="Times New Roman CYR" w:hAnsi="Times New Roman CYR" w:cs="Times New Roman CYR"/>
                <w:sz w:val="20"/>
                <w:szCs w:val="20"/>
              </w:rPr>
              <w:t>Інформація про виконання</w:t>
            </w:r>
          </w:p>
        </w:tc>
      </w:tr>
      <w:tr w:rsidR="00FC6662" w14:paraId="17D6207E" w14:textId="77777777" w:rsidTr="00CB55FC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F12B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CD13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203D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9398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19AC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FBCC3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</w:tr>
      <w:tr w:rsidR="00146D1E" w14:paraId="53F85D63" w14:textId="77777777" w:rsidTr="000D40C6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3F8F" w14:textId="3640F90F" w:rsid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C592" w14:textId="77777777" w:rsid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48-Е</w:t>
            </w:r>
          </w:p>
          <w:p w14:paraId="10C352DA" w14:textId="2BB34224" w:rsid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11.04.2024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E223A" w14:textId="06BD77C0" w:rsid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фондового ринку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3EB47" w14:textId="182F6A6C" w:rsid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102 000 грн. 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виконнання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розпорядження про усунення порушень законодавства на ринках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органiзованих</w:t>
            </w:r>
            <w:proofErr w:type="spellEnd"/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5E553" w14:textId="6E127677" w:rsid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пункту 8 частини 1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статтi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11 Закону України "Про державне регулювання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ринкiв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органiзованих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товарних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ринкiв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 (в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редакцiї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01.01.2024) 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7585" w14:textId="1F9A05F0" w:rsidR="00146D1E" w:rsidRDefault="00146D1E" w:rsidP="0014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сплачено 13.05.2025</w:t>
            </w:r>
          </w:p>
        </w:tc>
      </w:tr>
    </w:tbl>
    <w:p w14:paraId="133EBD02" w14:textId="77777777" w:rsidR="00BC64AA" w:rsidRDefault="00BC64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BC64AA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68E5BA35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2. Органи управління та посадові особи. Організаційна структура</w:t>
      </w:r>
    </w:p>
    <w:p w14:paraId="50258434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Органи управління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50"/>
        <w:gridCol w:w="4000"/>
        <w:gridCol w:w="4000"/>
      </w:tblGrid>
      <w:tr w:rsidR="00FC6662" w14:paraId="7F25316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DAFE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147A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656E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Кількісний склад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411DE9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Персональний склад органу управління (контролю)</w:t>
            </w:r>
          </w:p>
        </w:tc>
      </w:tr>
      <w:tr w:rsidR="00FC6662" w14:paraId="13940F18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4703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1D24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E02D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20637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FC6662" w14:paraId="3D424B3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3B6C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8C15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416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155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C1F0D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реєстром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</w:p>
        </w:tc>
      </w:tr>
      <w:tr w:rsidR="00FC6662" w14:paraId="69C4EAD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8C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F42D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Наглядова Рада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3A31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85A98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Члени Наглядової Ради: Безпалько Микола </w:t>
            </w:r>
            <w:proofErr w:type="spellStart"/>
            <w:r>
              <w:rPr>
                <w:rFonts w:ascii="Times New Roman CYR" w:hAnsi="Times New Roman CYR" w:cs="Times New Roman CYR"/>
              </w:rPr>
              <w:t>Андрiйович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 Артеменко Тетяна </w:t>
            </w:r>
            <w:proofErr w:type="spellStart"/>
            <w:r>
              <w:rPr>
                <w:rFonts w:ascii="Times New Roman CYR" w:hAnsi="Times New Roman CYR" w:cs="Times New Roman CYR"/>
              </w:rPr>
              <w:t>Федорiвна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Голобородько Олег Борисович, Гузь Дмитро </w:t>
            </w:r>
            <w:proofErr w:type="spellStart"/>
            <w:r>
              <w:rPr>
                <w:rFonts w:ascii="Times New Roman CYR" w:hAnsi="Times New Roman CYR" w:cs="Times New Roman CYR"/>
              </w:rPr>
              <w:t>Iванович</w:t>
            </w:r>
            <w:proofErr w:type="spellEnd"/>
          </w:p>
        </w:tc>
      </w:tr>
      <w:tr w:rsidR="00FC6662" w14:paraId="32FC8594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BC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D37C9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Генеральний директор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1EDB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095B3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Мандзюк Євген </w:t>
            </w:r>
            <w:proofErr w:type="spellStart"/>
            <w:r>
              <w:rPr>
                <w:rFonts w:ascii="Times New Roman CYR" w:hAnsi="Times New Roman CYR" w:cs="Times New Roman CYR"/>
              </w:rPr>
              <w:t>Сергiйович</w:t>
            </w:r>
            <w:proofErr w:type="spellEnd"/>
          </w:p>
        </w:tc>
      </w:tr>
    </w:tbl>
    <w:p w14:paraId="1C9D3C22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718B520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FC6662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69E95F1E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щодо посадових осіб</w:t>
      </w:r>
    </w:p>
    <w:p w14:paraId="38F30194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Рада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FC6662" w14:paraId="70BD283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0520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7800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864B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B985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02AB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41BC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A84F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B281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D843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посада, яку займав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73DD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0BB8C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FC6662" w14:paraId="1BDEAFF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D02C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1422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27C5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8468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79D9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561D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6CFD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146E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AC35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3F6B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6D4AE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FC6662" w14:paraId="4ED1E4D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19E3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EF3F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1A0E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Безпалько Микола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Андрiйович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749EF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C4B9D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D8E3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1946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4C49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 -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економiст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5D58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60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E6B1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</w:t>
            </w:r>
          </w:p>
          <w:p w14:paraId="4A20697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23518596</w:t>
            </w:r>
          </w:p>
          <w:p w14:paraId="587BC97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Радник,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-фармацевтичний завод", 23518596, Голова Наглядової ради,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завод", 23518596,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C80A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17.12.2021</w:t>
            </w:r>
          </w:p>
          <w:p w14:paraId="4F1100E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5D780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FC6662" w14:paraId="74F04FE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5704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097D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E540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Артеменко Тетяна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Федорiвна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B1FA2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96A6F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5035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1955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DBA0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 -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економiст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5A84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52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6A06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</w:t>
            </w:r>
          </w:p>
          <w:p w14:paraId="5524C17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23518596</w:t>
            </w:r>
          </w:p>
          <w:p w14:paraId="7E1E226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директор,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завод", 23518596,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BC50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17.12.2021</w:t>
            </w:r>
          </w:p>
          <w:p w14:paraId="756198B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2BBCA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FC6662" w14:paraId="73DAE46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6C5A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8BAF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A14E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Голобородько Олег Борисович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2084A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4D533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3E8F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CDA5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 - юрист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1258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32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A8C4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</w:t>
            </w:r>
          </w:p>
          <w:p w14:paraId="01847BF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23518596</w:t>
            </w:r>
          </w:p>
          <w:p w14:paraId="5293F24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генерального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директора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iнвестицiйно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-юридичних питань,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завод", 23518596,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2F8F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17.12.2021</w:t>
            </w:r>
          </w:p>
          <w:p w14:paraId="22D71419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2AC52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FC6662" w14:paraId="3379AAA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91ED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09BE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AEF6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Гузь Дмитро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Iванович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EF225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C6A55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8002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1990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A46F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 - юрист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0213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6B4B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ПРИВАТНЕ АКЦIОНЕРНЕ ТОВАРИСТВО "ФАРМАЦЕВТИЧНА ФIРМА "ДАРНИЦЯ""</w:t>
            </w:r>
          </w:p>
          <w:p w14:paraId="1BFE93E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00481212</w:t>
            </w:r>
          </w:p>
          <w:p w14:paraId="107C3E0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помiчник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начальника юридичного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ПРИВАТНЕ АКЦIОНЕРНЕ ТОВАРИСТВО "ФАРМАЦЕВТИЧНА ФIРМА "ДАРНИЦЯ"", 00481212,  юрисконсульт,  ПРИВАТНЕ АКЦIОНЕРНЕ ТОВАРИСТВО "ФАРМАЦЕВТИЧНА ФIРМА "ДАРНИЦЯ"", 00481212,   юрист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iнтелектуальної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власностi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завод", 23518596,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4BF8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10.05.2022</w:t>
            </w:r>
          </w:p>
          <w:p w14:paraId="79156DB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1F227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5D94EC29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Виконавчий орган</w:t>
      </w:r>
    </w:p>
    <w:tbl>
      <w:tblPr>
        <w:tblW w:w="1544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744"/>
        <w:gridCol w:w="1701"/>
        <w:gridCol w:w="1134"/>
        <w:gridCol w:w="800"/>
        <w:gridCol w:w="1000"/>
        <w:gridCol w:w="1000"/>
        <w:gridCol w:w="900"/>
        <w:gridCol w:w="3813"/>
        <w:gridCol w:w="1400"/>
        <w:gridCol w:w="1400"/>
      </w:tblGrid>
      <w:tr w:rsidR="00FC6662" w14:paraId="452C9BDF" w14:textId="77777777" w:rsidTr="00CB55FC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4C7C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0B97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7EF7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A448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4C88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E1E8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5734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3ABD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4B43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посада, яку займав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2A30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346C5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FC6662" w14:paraId="37D068DF" w14:textId="77777777" w:rsidTr="00CB55FC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48D2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90F6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FC4C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C8CD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2D9D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BAB2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1CAC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D762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9E38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A581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42E82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FC6662" w14:paraId="774ADCB0" w14:textId="77777777" w:rsidTr="00CB55FC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40AE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31C3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Генеральний директор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ED4E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Мандзюк Євген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Сергiйович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9A697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8A315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5274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1989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FE58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 -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4F14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</w:t>
            </w: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972C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</w:t>
            </w:r>
          </w:p>
          <w:p w14:paraId="625546C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23518596</w:t>
            </w:r>
          </w:p>
          <w:p w14:paraId="7C88741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Генеральний директор,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-фармацевтичний завод" 23518596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категорiї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лабораторiї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фiзико-хiмiчних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методiв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аналiзу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дослiдно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-впроваджувальної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лабораторiї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-фармацевтичний завод", 23518596, 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дослiдно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-впроваджувальної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лабораторiї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-фармацевтичний завод", 23518596, Заступник Генерального директора з науки,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-фармацевтичний завод", 23518596, Заступник Генерального директора з науки - 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дослiдно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-впроваджувальної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лабораторiї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A7A9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13.02.2024</w:t>
            </w:r>
          </w:p>
          <w:p w14:paraId="6D9E8E0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BACCA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0E015609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644E41C1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щодо володіння посадовими особами акціями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2500"/>
        <w:gridCol w:w="1625"/>
        <w:gridCol w:w="1625"/>
        <w:gridCol w:w="1625"/>
        <w:gridCol w:w="1625"/>
        <w:gridCol w:w="1700"/>
        <w:gridCol w:w="1700"/>
      </w:tblGrid>
      <w:tr w:rsidR="00FC6662" w14:paraId="28CB1A34" w14:textId="77777777">
        <w:trPr>
          <w:trHeight w:val="300"/>
        </w:trPr>
        <w:tc>
          <w:tcPr>
            <w:tcW w:w="55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D629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B9CF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150F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D395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E0F2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7523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Кількість акцій, шт.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A9B3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Від загальної кількості акцій (у відсотках)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80871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Кількість за типами акцій</w:t>
            </w:r>
          </w:p>
        </w:tc>
      </w:tr>
      <w:tr w:rsidR="00FC6662" w14:paraId="7A398158" w14:textId="77777777">
        <w:trPr>
          <w:trHeight w:val="300"/>
        </w:trPr>
        <w:tc>
          <w:tcPr>
            <w:tcW w:w="55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9141C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53A21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3FA87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ECE28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7A874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62E67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EEB19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E1B7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прості іменні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EF6D1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привілейовані іменні</w:t>
            </w:r>
          </w:p>
        </w:tc>
      </w:tr>
      <w:tr w:rsidR="00FC6662" w14:paraId="181B9F0D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3F35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A6F6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16BE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49B7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BE57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ECE8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6427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0FA9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DA5C8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</w:tr>
      <w:tr w:rsidR="00FC6662" w14:paraId="2E014950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1758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7E5D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A0CF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Безпалько Микола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Андрiйович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FB2EC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FF01D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B3D1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24EF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0,028982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BACB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5D228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FC6662" w14:paraId="1BB2255F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6607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FD6B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C7B9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Артеменко Тетяна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Федорiвна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DB27C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51117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D9B9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6A9A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0,038643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63AA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964A6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FC6662" w14:paraId="65143D68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064F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DF4B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268B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Голобородько Олег Борисович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8634A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5DECE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1654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6D92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0,038643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5021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9DCED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FC6662" w14:paraId="781D2E8F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4A70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7C49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E2FB9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Гузь Дмитро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Iванович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995A3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E75FE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15AB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1858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C799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815EC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FC6662" w14:paraId="5305AA2C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02E5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EAC5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Генеральний директор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5DB7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Мандзюк Євген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Сергiйович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26DD5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C3DED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073C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597F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3CB4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2B2A6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</w:tbl>
    <w:p w14:paraId="1B5E3925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08C30E25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FC6662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3E0262C8" w14:textId="77777777" w:rsidR="00BC64AA" w:rsidRPr="00146D1E" w:rsidRDefault="00BC64AA" w:rsidP="00BC64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46D1E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Організаційна структура</w:t>
      </w:r>
    </w:p>
    <w:p w14:paraId="7C94551D" w14:textId="7A051A99" w:rsidR="00BC64AA" w:rsidRPr="00146D1E" w:rsidRDefault="00146D1E" w:rsidP="00BC64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146D1E">
        <w:rPr>
          <w:rFonts w:ascii="Times New Roman CYR" w:hAnsi="Times New Roman CYR" w:cs="Times New Roman CYR"/>
          <w:i/>
          <w:iCs/>
          <w:sz w:val="24"/>
          <w:szCs w:val="24"/>
        </w:rPr>
        <w:t>https://bcpp.com.ua/shareholders</w:t>
      </w:r>
      <w:r w:rsidR="00BC64AA" w:rsidRPr="00146D1E">
        <w:rPr>
          <w:rFonts w:ascii="Times New Roman CYR" w:hAnsi="Times New Roman CYR" w:cs="Times New Roman CYR"/>
          <w:i/>
          <w:iCs/>
          <w:sz w:val="24"/>
          <w:szCs w:val="24"/>
        </w:rPr>
        <w:t>4</w:t>
      </w:r>
    </w:p>
    <w:p w14:paraId="61923E28" w14:textId="77777777" w:rsidR="00BC64AA" w:rsidRPr="00146D1E" w:rsidRDefault="00BC64AA" w:rsidP="00BC64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26771DA" w14:textId="77777777" w:rsidR="00BC64AA" w:rsidRPr="00146D1E" w:rsidRDefault="00BC64AA" w:rsidP="00BC64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46D1E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Структура власності</w:t>
      </w:r>
    </w:p>
    <w:p w14:paraId="15879290" w14:textId="30F71C9A" w:rsidR="00BC64AA" w:rsidRDefault="00146D1E" w:rsidP="00BC64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146D1E">
        <w:rPr>
          <w:rFonts w:ascii="Times New Roman CYR" w:hAnsi="Times New Roman CYR" w:cs="Times New Roman CYR"/>
          <w:i/>
          <w:iCs/>
          <w:sz w:val="24"/>
          <w:szCs w:val="24"/>
        </w:rPr>
        <w:t>https://bcpp.com.ua/shareholders</w:t>
      </w:r>
    </w:p>
    <w:p w14:paraId="0D0E540A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9BAC02C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C6B4F33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Опис господарської та фінансової діяльності</w:t>
      </w:r>
    </w:p>
    <w:p w14:paraId="0BCA0AB5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Належнiсть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особи до будь-яких об'єднань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повне найменування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об'єднання, опис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об'єднання, строк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особи 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вiдповiдному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роль особи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посилання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вебсайт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об'єднання.</w:t>
      </w:r>
    </w:p>
    <w:p w14:paraId="6109778D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ПАТ НВЦ "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ХФЗ" є членом неприбуткових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органiзацiй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:</w:t>
      </w:r>
    </w:p>
    <w:p w14:paraId="433C4619" w14:textId="77777777" w:rsidR="00FC6662" w:rsidRPr="00055A19" w:rsidRDefault="00FC6662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A59F9CE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- Членом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"Виробники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лiкiв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України".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об'єднання: Україна, 04073,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мiсто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Київ, проспект Степана Бандери, будинок 13. www.avlu.org.ua.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"Виробники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лiкiв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України",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 статуту, створена з метою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iнтеграцiї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зусиль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фармацевтичної сектору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охорони здоров'я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використання їх виробничого, 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професiйного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практичного та наукового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потенцiалу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матерiальних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ресурсiв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для вдосконалення фармацевтичного ринку України i, якомога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бiльшого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задоволення потреб населення України 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лiкарських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засобах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динамiчного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розвитку кожного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Строк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: за взаємною згодою. ПАТ НВЦ "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ХФЗ" член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 мети її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68D15409" w14:textId="77777777" w:rsidR="00FC6662" w:rsidRPr="00055A19" w:rsidRDefault="00FC6662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191D561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- Членом Торгової промислової палати України.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: Україна, 01601,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мiсто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Київ, вулиця Велика Житомирська, будинок 33. https://ucci.org.ua. Забезпечує сприятливе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-середовище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створює та розширює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можливостi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розвитку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через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вiдкиття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нових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вiтчизняного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експорту, сприяння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динамiчнiй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iнтернацiоналiзацiї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українського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активну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iнтеграцiю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свiтову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економiку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вдосконалення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iнституцiйного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середовища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процесi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дiалогу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влади, а також надання послуг, затребуваних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бiзнесом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Строк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: за взаємною згодою. ПАТ НВЦ "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ХФЗ" член об'єднання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 мети її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12B3CA99" w14:textId="77777777" w:rsidR="00FC6662" w:rsidRPr="00055A19" w:rsidRDefault="00FC6662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67019B0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- Членом Київської торгової промислової палати України.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: 01601,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м.Київ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вул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Б. Хмельницького, 55. https://kiev-chamber.org.ua. Київська ТПП має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метi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сприяння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розвитковi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нацiональної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економiки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її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iнтеграцiї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свiтову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систему,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змiцнення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ринкових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механiзмiв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надання практичної допомоги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пiдприємствам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форм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i представництва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iнтересiв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органiзацiй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Палати 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вiдносинах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мiсцевими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органами державної виконавчої влади. Спектр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Палати дуже широкий i спрямований на встановлення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дiлових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контактiв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українськими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зарубiжними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освоєння нових форм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спiвробiтництва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участь 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здiйсненнi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мiжнародних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програм та проведення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дiлових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зустрiчей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бiзнес-мiсiй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конференцiй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презентацiй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Серед основних послуг,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надає Київська ТПП своїм членам - проведення експертиз, контроль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визначення їхньої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видача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сертифiкатiв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походження, декларування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зовнiшньоторговельних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штрихове кодування, юридичний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супровiд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аналiтика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визначення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мовнi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переклади, рекламно-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видавничi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послуги. Строк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: за взаємною згодою. ПАТ НВЦ "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ХФЗ" член об'єднання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 мети її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65964110" w14:textId="77777777" w:rsidR="00FC6662" w:rsidRPr="00055A19" w:rsidRDefault="00FC6662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04AF1A1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- Членом Європейської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: Україна, 01029,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мiсто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Київ,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вул.Острозьких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Князiв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будинок 8, корпус 7. https://eba.com.ua. Європейська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створена з метою представництва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iнтересiв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європейських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вiтчизняних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iнвесторiв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Строк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: за взаємною згодою. ПАТ НВЦ "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ХФЗ" член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 мети її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6624A020" w14:textId="77777777" w:rsidR="00FC6662" w:rsidRPr="00055A19" w:rsidRDefault="00FC6662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61FE862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- Членом Об'єднання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органiзацiй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роботодавцiв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медичної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мiкробiологiчної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промисловостi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України, яке є членом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конфедерацiї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роботодавцiв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України.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об'єднання: 03033 м. Київ, вул. Ш.Руставелi,23. https://oormmpu.com.ua. Основна мета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Об'єднання - представництво та захист </w:t>
      </w:r>
      <w:r w:rsidRPr="00055A19">
        <w:rPr>
          <w:rFonts w:ascii="Times New Roman CYR" w:hAnsi="Times New Roman CYR" w:cs="Times New Roman CYR"/>
          <w:sz w:val="24"/>
          <w:szCs w:val="24"/>
        </w:rPr>
        <w:lastRenderedPageBreak/>
        <w:t xml:space="preserve">законних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iнтересiв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органiзацiй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роботодавцiв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об'єднання - 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економiчнiй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соцiально-трудовiй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сферах, у тому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i їх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вiдносинах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сторонами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соцiального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партнерства, сприяння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iнтеграцiї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взаєморозумiнню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роботодавцiв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медичної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мiкробiологiчної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промисловостi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України. Строк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: за взаємною згодою. ПАТ НВЦ "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ХФЗ" член об'єднання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 мети її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3122BBA3" w14:textId="77777777" w:rsidR="00FC6662" w:rsidRPr="00055A19" w:rsidRDefault="00FC6662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C85335C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Спiльна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яку особа проводить з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установами, при цьому зазначаються сума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мета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(отримання прибутку,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цiлi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) та отриманий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результат за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 кожного виду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спiльної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3D100D6A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ПАТ НВЦ "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ХФЗ" не проводить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спiльної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, установами.</w:t>
      </w:r>
    </w:p>
    <w:p w14:paraId="2BDF6FCE" w14:textId="77777777" w:rsidR="00BC64AA" w:rsidRPr="00055A19" w:rsidRDefault="00BC64AA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5D0F293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3. Опис обраної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облiкової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(метод нарахування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тощо).</w:t>
      </w:r>
    </w:p>
    <w:p w14:paraId="2BF6C8D8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3.1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</w:p>
    <w:p w14:paraId="3583DF56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Доходи Товариства включають доходи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готової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1F1BAA0E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що виникає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унаслiдок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передачi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контрагентам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обiцяних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або послуг, визнається 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сумi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вiдображає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компенсацiю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на яку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пiдприємство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очiкує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мати право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обмiн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цi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товари або послуги.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продажу визнається з застосуванням наступної п'яти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ступiнчатої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моделi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яка включає: </w:t>
      </w:r>
    </w:p>
    <w:p w14:paraId="03579D54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iдентифiкацiю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договору з замовником;</w:t>
      </w:r>
    </w:p>
    <w:p w14:paraId="533B4282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iдентифiкацiю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зобов'язань до виконання -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договiрних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зобов'язань про передачу споживачам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або послуг,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вiддiльними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;</w:t>
      </w:r>
    </w:p>
    <w:p w14:paraId="23734866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- визначення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- суми винагороди, яку суб'єкт господарювання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сподiвається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отримати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обмiн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на передачу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обiцяних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чи послуг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клiєнту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;</w:t>
      </w:r>
    </w:p>
    <w:p w14:paraId="18AD3C5C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розподiл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на зобов'язання до виконання -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видiлення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щодо кожного зобов'язання до виконання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самостiйної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кожного окремого товару або послуги;</w:t>
      </w:r>
    </w:p>
    <w:p w14:paraId="48F15DF4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- визнання доходу, коли зобов'язання до виконання виконується шляхом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передачi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обiцяного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товару або послуги контрагенту, за результатами якої контрагент отримує контроль над цим товаром або послугою.</w:t>
      </w:r>
    </w:p>
    <w:p w14:paraId="6EAE2CE2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Коли (або як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тiльки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) зобов'язання щодо виконання задоволене, Товариство  визнає як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величину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яка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вiднесена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на це зобов'язання щодо виконання.</w:t>
      </w:r>
    </w:p>
    <w:p w14:paraId="2AFCD2BD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Для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визначення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Товариство враховує умови договору та свою звичну практику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Цiна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- це величина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компенсацiї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на яку Товариство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очiкує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отримати право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обмiн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на передачу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клiєнтовi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обiцяних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або послуг. </w:t>
      </w:r>
    </w:p>
    <w:p w14:paraId="402D6138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що визнається за зобов'язаннями з доставки товару, що поставляється Товариством, визнається в тих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облiкових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перiодах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коли товари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доставленi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i послуги з доставки,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наданi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27F782E7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якщо при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здiйсненнi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продажу, Товариство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доставку товару, такий продаж з доставкою розглядається як єдине зобов'язання, зважаючи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тiсний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взаємозв'язок продажу товару i виконання доставки, що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 замовленням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клiєнта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Витрати на доставку товару враховуються Товариством 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витрат на збут.</w:t>
      </w:r>
    </w:p>
    <w:p w14:paraId="5D659E6D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Строки розрахунку за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переданi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продукцiю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i товари встановлюються в кожному конкретному випадку. Як правило, строк оплати за договорами з поставки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внутрiшнiм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поставкам становить 30 - 90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днiв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категорiї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покупця, за договорами поставки на експорт - до 120 календарних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днiв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 моменту поставки.  </w:t>
      </w:r>
    </w:p>
    <w:p w14:paraId="1E7B9284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Товариство застосовує спрощення, передбачене пунктом 63 МСФЗ 15 "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клiєнтами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" i не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коригування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обiцяної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суми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компенсацiї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 метою урахування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iстотного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компонента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якщо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очiкує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на момент укладення договору, що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часом, коли Товариство передає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обiцяний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товар або послугу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клiєнтовi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та часом, коли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клiєнт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платить за такий товар або послугу, становитиме не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одного року. </w:t>
      </w:r>
    </w:p>
    <w:p w14:paraId="05B0A068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Товариство також застосовує спрощення, передбачене пунктом 121 МСФЗ 15, i не розкриває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про свої решту зобов'язань щодо виконання,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початкова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очiкувана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тривалiсть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зобов`язань щодо продажу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не перевищує одного року.</w:t>
      </w:r>
    </w:p>
    <w:p w14:paraId="64067013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3.2.</w:t>
      </w:r>
      <w:r w:rsidRPr="00055A19">
        <w:rPr>
          <w:rFonts w:ascii="Times New Roman CYR" w:hAnsi="Times New Roman CYR" w:cs="Times New Roman CYR"/>
          <w:sz w:val="24"/>
          <w:szCs w:val="24"/>
        </w:rPr>
        <w:tab/>
        <w:t xml:space="preserve">Витрати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</w:p>
    <w:p w14:paraId="66066EE1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lastRenderedPageBreak/>
        <w:t xml:space="preserve">Витрати визнаються витратами певного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одночасно з визнанням доходу, для отримання якого вони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здiйсненi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Якщо витрати не мають безпосереднього зв'язку з певними доходами, вони визнаються в тому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коли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понесенi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1FD88FBF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Якщо актив забезпечує одержання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вигiд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кiлькох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звiтних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перiодiв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то витрати визнаються шляхом систематичного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розподiлу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його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(наприклад, 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виглядi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вiдповiдними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звiтними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перiодами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520F5C57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3.3.</w:t>
      </w:r>
      <w:r w:rsidRPr="00055A19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Нематерiальнi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активи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розробок</w:t>
      </w:r>
    </w:p>
    <w:p w14:paraId="32565A29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Нематерiальнi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активи Товариства включають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наступнi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класи:</w:t>
      </w:r>
    </w:p>
    <w:p w14:paraId="35CDA798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- Права користування землею;</w:t>
      </w:r>
    </w:p>
    <w:p w14:paraId="2DA33DBF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Власнi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торговi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знаки та патенти;</w:t>
      </w:r>
    </w:p>
    <w:p w14:paraId="6A84A5D2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- Програмне забезпечення;</w:t>
      </w:r>
    </w:p>
    <w:p w14:paraId="7DDA5688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нематерiальнi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активи.</w:t>
      </w:r>
    </w:p>
    <w:p w14:paraId="3C36992A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класiв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собiвартiстю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159EC08B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нараховується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застосуванням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прямолiнiйного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методу.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Лiквiдацiйна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встановлюється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рiвнi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нуля. Строки корисного використання,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застосовуються до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встановлюються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iндивiдуально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 кожного об'єкту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064D57A3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 окремому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про сукупний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вiдображається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Адмiнiстративних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витрат" за статтею "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".</w:t>
      </w:r>
    </w:p>
    <w:p w14:paraId="6027B219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Товариство не розмежовує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стадiю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стадiю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розробок у межах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проектiв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створення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облiковує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витрати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проекти як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що були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понесенi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у зв'язку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стадiєю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Витрати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дослiдження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визнаються витратами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6DE85786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3.4.</w:t>
      </w:r>
      <w:r w:rsidRPr="00055A19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засоби </w:t>
      </w:r>
    </w:p>
    <w:p w14:paraId="0572A5D8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Земля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облiковується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Товариством за моделлю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переоцiнки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 вирахуванням будь-якого забезпечення зменшення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корисностi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Амортизацiйнi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вiдрахування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на землю не нараховуються.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Будiвлi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споруди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облiковуються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 моделлю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переоцiнки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 вирахуванням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будь-якого зменшення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корисностi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Переоцiнка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проводиться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перiодичнiй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тому балансова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таких груп основних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значних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вiдхилень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порiвняннi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таких основних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визначених за справедливою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звiтну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дату.</w:t>
      </w:r>
    </w:p>
    <w:p w14:paraId="1A51142E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балансової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у зв'язку з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переоцiнкою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визнається безпосередньо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капiталi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 статтею "Резерв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переоцiнки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", а також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вiдображається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у окремому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про сукупний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Дооцiнка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об'єкта основних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(у тому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землi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), що входить до власного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не амортизується протягом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корисного використання, а 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повнiй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сумi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переноситься до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нерозподiленого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прибутку, коли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вiдбувається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припинення визнання активу (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лiквiдацiя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реалiзацiя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тощо). </w:t>
      </w:r>
    </w:p>
    <w:p w14:paraId="337FF1D8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групи основних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представленi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фiнансовiй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собiвартiстю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 вирахуванням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будь-якого зменшення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корисностi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не нараховується упродовж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пiдготовки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 введення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експлуатацiю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4E6DA9BC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Прибуток або збиток, що виникає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вибуття активу, визначається як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рiзниця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надходженнями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вибуття та балансовою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активу та визнається в окремому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про сукупний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601568F6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Амортизацiю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обчислюють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прямолiнiйнiй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протягом попередньо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оцiнених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строкiв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корисної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експлуатацiї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14:paraId="30689323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Будiвлi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споруди</w:t>
      </w:r>
      <w:r w:rsidRPr="00055A19">
        <w:rPr>
          <w:rFonts w:ascii="Times New Roman CYR" w:hAnsi="Times New Roman CYR" w:cs="Times New Roman CYR"/>
          <w:sz w:val="24"/>
          <w:szCs w:val="24"/>
        </w:rPr>
        <w:tab/>
        <w:t xml:space="preserve">85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</w:p>
    <w:p w14:paraId="36E18387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Транспортнi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засоби, машини та обладнання</w:t>
      </w:r>
      <w:r w:rsidRPr="00055A19">
        <w:rPr>
          <w:rFonts w:ascii="Times New Roman CYR" w:hAnsi="Times New Roman CYR" w:cs="Times New Roman CYR"/>
          <w:sz w:val="24"/>
          <w:szCs w:val="24"/>
        </w:rPr>
        <w:tab/>
        <w:t xml:space="preserve">5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</w:p>
    <w:p w14:paraId="047F9568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Комп'ютерна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технiка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055A19">
        <w:rPr>
          <w:rFonts w:ascii="Times New Roman CYR" w:hAnsi="Times New Roman CYR" w:cs="Times New Roman CYR"/>
          <w:sz w:val="24"/>
          <w:szCs w:val="24"/>
        </w:rPr>
        <w:tab/>
        <w:t>2 роки</w:t>
      </w:r>
    </w:p>
    <w:p w14:paraId="2D937593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засоби</w:t>
      </w:r>
      <w:r w:rsidRPr="00055A19">
        <w:rPr>
          <w:rFonts w:ascii="Times New Roman CYR" w:hAnsi="Times New Roman CYR" w:cs="Times New Roman CYR"/>
          <w:sz w:val="24"/>
          <w:szCs w:val="24"/>
        </w:rPr>
        <w:tab/>
        <w:t xml:space="preserve">4-12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</w:p>
    <w:p w14:paraId="0D124420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Витрати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технiчне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обслуговування,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понесенi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процесi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використання основних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використанi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технiчного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обслуговування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i для одержання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первiсно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визначених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вигiд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використання таких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визнаються як витрати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що можуть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збiльшити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використання, подовжити строк корисної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експлуатацiї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або покращити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капiталiзуються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10CC2A30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3.5.</w:t>
      </w:r>
      <w:r w:rsidRPr="00055A19">
        <w:rPr>
          <w:rFonts w:ascii="Times New Roman CYR" w:hAnsi="Times New Roman CYR" w:cs="Times New Roman CYR"/>
          <w:sz w:val="24"/>
          <w:szCs w:val="24"/>
        </w:rPr>
        <w:tab/>
        <w:t xml:space="preserve">Оренда </w:t>
      </w:r>
    </w:p>
    <w:p w14:paraId="037B2D83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Товариство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оцiнює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вiдображає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договори оренди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 МСФЗ (IFRS) 16 "Оренда". </w:t>
      </w:r>
    </w:p>
    <w:p w14:paraId="278DA54D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lastRenderedPageBreak/>
        <w:t xml:space="preserve">Визначення того, чи є угода орендою, або чи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вона ознаки оренди,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грунтується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аналiзi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змiсту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угоди. При цьому на дату початку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договору встановлюється, чи залежить його виконання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використання конкретного активу або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i чи переходить право користування активом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результатi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даної угоди.</w:t>
      </w:r>
    </w:p>
    <w:p w14:paraId="000B42FC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Товариство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орендаря</w:t>
      </w:r>
    </w:p>
    <w:p w14:paraId="4B156003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Товариство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вiдображає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актив 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права користування та зобов'язання по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орендi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на дату початку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оренди, що не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пiдпадають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спрощення. Дата початку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договору оренди - це дата, коли базовий актив стає доступним для використання орендарем.</w:t>
      </w:r>
    </w:p>
    <w:p w14:paraId="0E114237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Активи 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права користування початково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первiсною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, яка включає:</w:t>
      </w:r>
    </w:p>
    <w:p w14:paraId="4725E10B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-</w:t>
      </w:r>
      <w:r w:rsidRPr="00055A19">
        <w:rPr>
          <w:rFonts w:ascii="Times New Roman CYR" w:hAnsi="Times New Roman CYR" w:cs="Times New Roman CYR"/>
          <w:sz w:val="24"/>
          <w:szCs w:val="24"/>
        </w:rPr>
        <w:tab/>
        <w:t xml:space="preserve">суму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первiсної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зобов'язання з оренди;</w:t>
      </w:r>
    </w:p>
    <w:p w14:paraId="13372B28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-</w:t>
      </w:r>
      <w:r w:rsidRPr="00055A19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оренднi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платежi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здiйсненi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на дату початку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договору оренди або до неї, за вирахуванням стимулюючих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платежiв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орендi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;</w:t>
      </w:r>
    </w:p>
    <w:p w14:paraId="467F4DEF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-</w:t>
      </w:r>
      <w:r w:rsidRPr="00055A19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початковi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прямi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витрати,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понесенi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орендарем;</w:t>
      </w:r>
    </w:p>
    <w:p w14:paraId="1CDDB0B4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-</w:t>
      </w:r>
      <w:r w:rsidRPr="00055A19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витрат,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будуть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понесенi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орендарем при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демонтажi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перемiщеннi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базового активу або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вiдновленнi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дiлянки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землi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на якому активи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розташованi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7FD0ABEC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настання дати початку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договору, активи 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права користування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первiсною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 вирахуванням накопиченої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накопичених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збиткiв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знецiнення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а також коригуються з урахуванням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переоцiнки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зобов'язань з оренди.</w:t>
      </w:r>
    </w:p>
    <w:p w14:paraId="03608854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Якщо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договiр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оренди передбачає передачу права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на базовий актив Товариства до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строку оренди або якщо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активу 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права користування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вiдображає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той факт, що Товариство буде використовувати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опцiон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на покупку, Товариство амортизує актив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права користування з дати початку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договору оренди до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строку корисного використання базового активу.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iншому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випадку Товариство амортизує актив 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права користування з дати початку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договору оренди до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бiльш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ранньої з двох дат:</w:t>
      </w:r>
    </w:p>
    <w:p w14:paraId="295AC147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1)</w:t>
      </w:r>
      <w:r w:rsidRPr="00055A19">
        <w:rPr>
          <w:rFonts w:ascii="Times New Roman CYR" w:hAnsi="Times New Roman CYR" w:cs="Times New Roman CYR"/>
          <w:sz w:val="24"/>
          <w:szCs w:val="24"/>
        </w:rPr>
        <w:tab/>
        <w:t xml:space="preserve">дати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корисного строку використання активу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права користування або </w:t>
      </w:r>
    </w:p>
    <w:p w14:paraId="19B59491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2)</w:t>
      </w:r>
      <w:r w:rsidRPr="00055A19">
        <w:rPr>
          <w:rFonts w:ascii="Times New Roman CYR" w:hAnsi="Times New Roman CYR" w:cs="Times New Roman CYR"/>
          <w:sz w:val="24"/>
          <w:szCs w:val="24"/>
        </w:rPr>
        <w:tab/>
        <w:t xml:space="preserve">дати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строку оренди.</w:t>
      </w:r>
    </w:p>
    <w:p w14:paraId="661134FF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Зобов'язання з оренди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первiсно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оцiнюється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теперiшньою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орендних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платежiв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сплаченi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на зазначену дату.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Оренднi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платежi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включенi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зобов'язання Товариства з оренди, включають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фiксованi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платежi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3D2B0EED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Оренднi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платежi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дисконтуються з використанням процентної ставки, закладеної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договорi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оренди, якщо ця ставка може бути визначена, або ставки залучення додаткових позикових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Товариством. Кожен орендний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платiж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розподiляється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зобов'язанням i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витратами.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витрати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вiдносяться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на прибуток або збиток протягом строку оренди з метою забезпечення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постiйної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процентної ставки по залишку зобов'язання за кожен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37E87057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Актив 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права користування амортизується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лiнiйним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методом протягом строку корисного використання активу або строку оренди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того, який з 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закiнчиться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ранiше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6B2A9611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Строк оренди, визначений Товариством включає: </w:t>
      </w:r>
    </w:p>
    <w:p w14:paraId="5BCBE98F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-</w:t>
      </w:r>
      <w:r w:rsidRPr="00055A19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договору оренди, який не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пiдлягає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достроковому припиненню; </w:t>
      </w:r>
    </w:p>
    <w:p w14:paraId="38CBF5A1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-</w:t>
      </w:r>
      <w:r w:rsidRPr="00055A19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перiоди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щодо яких передбачений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опцiон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на продовження оренди, якщо є достатня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впевненiсть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 тому, що орендар виконає цей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опцiон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;</w:t>
      </w:r>
    </w:p>
    <w:p w14:paraId="039B03CC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-</w:t>
      </w:r>
      <w:r w:rsidRPr="00055A19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перiоди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щодо яких передбачений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опцiон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на припинення оренди, якщо є достатня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впевненiсть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 тому, що орендар не виконає цей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опцiон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6CED6892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початку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договору оренди Товариство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оцiнює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зобов'язання з оренди шляхом: </w:t>
      </w:r>
    </w:p>
    <w:p w14:paraId="6AD1A378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-</w:t>
      </w:r>
      <w:r w:rsidRPr="00055A19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балансової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вiдображення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вiдсоткiв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по зобов'язанню з оренди;</w:t>
      </w:r>
    </w:p>
    <w:p w14:paraId="07792B4F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-</w:t>
      </w:r>
      <w:r w:rsidRPr="00055A19">
        <w:rPr>
          <w:rFonts w:ascii="Times New Roman CYR" w:hAnsi="Times New Roman CYR" w:cs="Times New Roman CYR"/>
          <w:sz w:val="24"/>
          <w:szCs w:val="24"/>
        </w:rPr>
        <w:tab/>
        <w:t xml:space="preserve">зменшення балансової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щодо орендних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платежiв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;</w:t>
      </w:r>
    </w:p>
    <w:p w14:paraId="4E7F1ACA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-</w:t>
      </w:r>
      <w:r w:rsidRPr="00055A19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переоцiнки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балансової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вiдображення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перегляду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договору оренди.</w:t>
      </w:r>
    </w:p>
    <w:p w14:paraId="7D338DD9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Товариство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класифiкує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операцiйну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оренду як короткострокову, якщо строк оренди складає 12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мiсяцiв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або менше. Товариство не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класифiкує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операцiйну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оренду як оренду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 низькою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(таких як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персональнi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комп'ютери i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офiснi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меблi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) в зв'язку з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вiдповiдних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укладених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оренди. </w:t>
      </w:r>
    </w:p>
    <w:p w14:paraId="3DD5AF33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Товариство орендує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земельнi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дiлянки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комунальної форми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використовуються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операцiйнiй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49AF0A9F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Товариство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оцiнює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платежi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 договорами оренди земельних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дiлянок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комунальної форми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як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lastRenderedPageBreak/>
        <w:t>змiннi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з огляду на встановлену умовами договору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можливiсть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орендної плати, зокрема у зв'язку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змiною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вiдсоткової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ставки чи нормативно-грошової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земельної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дiлянки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яка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перiодично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переглядаються органами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мiсцевого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самоврядування чи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державними органами. </w:t>
      </w:r>
    </w:p>
    <w:p w14:paraId="5B376075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3.6.</w:t>
      </w:r>
      <w:r w:rsidRPr="00055A19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767C5B84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дочiрнi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визнаються за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первiсною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 вирахуванням резерву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знецiнення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який визнається як витрати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в якому було виявлено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знецiнення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1BCFD031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Дочiрнiми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Товариства є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Пiдприємство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 участю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iноземного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ТОВ "KORVITA-FARM" (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далi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- ТОВ "KORVITA-FARM") та ТОВ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Спiльне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пiдприємство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"Дружба". Частка ПАТ НВЦ "БХФЗ" у статутному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капiталi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ТОВ "KORVITA-FARM" складає 90%. ТОВ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Спiльне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українсько-китайське фармацевтичне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пiдприємство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"Дружба" (частка ПАТ НВЦ "БХФЗ" у статутному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капiталi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- 66.7%) з 2015 року знаходиться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стадiї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припинення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 положень його статуту. </w:t>
      </w:r>
    </w:p>
    <w:p w14:paraId="0E729762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3.7.</w:t>
      </w:r>
      <w:r w:rsidRPr="00055A19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iнструменти</w:t>
      </w:r>
      <w:proofErr w:type="spellEnd"/>
    </w:p>
    <w:p w14:paraId="5D264B30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iнструмент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є будь-яким контрактом, який приводить до появи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активу в одного суб'єкта господарювання i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зобов'язання або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iнструменту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власного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iншого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суб'єкта господарювання. </w:t>
      </w:r>
    </w:p>
    <w:p w14:paraId="211F604F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активи</w:t>
      </w:r>
    </w:p>
    <w:p w14:paraId="4BBE7171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Первiсне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визнання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</w:p>
    <w:p w14:paraId="6412E579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iнструменти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через прибуток або збиток, при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первiсному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визнаннi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визнаються за справедливою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iнструменти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первiсному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визнаннi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визнаються за справедливою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включаючи витрати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операцiю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Найкращим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пiдтвердженням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справедливої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первiсному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визнаннi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цiна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угоди (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). </w:t>
      </w:r>
    </w:p>
    <w:p w14:paraId="43FA429A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Прибуток або збиток при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первiсному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визнаннi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визнається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тiльки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 тому випадку, якщо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iснує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рiзниця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справедливою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цiною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цiною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угоди,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пiдтвердженням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якої можуть бути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спостережуванi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на ринку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поточнi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угоди з тим же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iнструментом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або модель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яка як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базовi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данi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використовує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тiльки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данi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спостережуваних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первiсного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визнання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 амортизованою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собiвартiстю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борговi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iнструменти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через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iнший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сукупний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визнається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оцiночний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резерв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кредитнi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збитки, що призводить до визнання бухгалтерського збитку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вiдразу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первiсного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визнання активу. </w:t>
      </w:r>
    </w:p>
    <w:p w14:paraId="72D9DA25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Придбання та продаж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поставка яких повинна проводитися в строки,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встановленi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законодавством або звичаями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дiлового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обороту для даного ринку (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купiвля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i продаж "на стандартних умовах"),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вiдображаються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на дату укладення угоди, тобто на дату, коли Товариство зобов'язується придбати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актив або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здiйснити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його продаж.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 придбання визнаються, коли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пiдприємство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стає стороною договору щодо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iнструменту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2A92B33B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Торгова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дебiторська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заборгованiсть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Товариства, яка розглядається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Керiвництвом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як така, що не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значного компоненту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в тому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 огляду на те, що строки погашення такої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заборгованостi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менше 12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мiсяцiв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час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первiсного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визнання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оцiнюється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цiною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- сумою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компенсацiї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очiкуваної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обмiн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на передачу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обiцяних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або послуг з подальшим визнанням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оцiночного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резерву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кредитнi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збитки. </w:t>
      </w:r>
    </w:p>
    <w:p w14:paraId="58F2A697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Класифiкацiя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i подальша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категорiї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</w:p>
    <w:p w14:paraId="6FEDC59F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Товариство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класифiкує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активи, використовуючи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категорiї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їх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через прибуток або збиток,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через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iнший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сукупний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 амортизованою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Класифiкацiя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i подальша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боргових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залежить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: (i)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бiзнес-моделi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Товариства для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вiдповiдним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портфелем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i (ii) характеристик грошових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 активом.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-модель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вiдображає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який використовується Товариством для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активами з метою отримання грошових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: чи є метою Товариства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тiльки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отримання передбачених договором грошових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або отримання i передбачених договором грошових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i грошових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що виникають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результатi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продажу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Якщо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способи не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застосовнi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активи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вiдносяться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категорiї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"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-моделей i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через прибуток або збиток.</w:t>
      </w:r>
    </w:p>
    <w:p w14:paraId="0FC34BA4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-модель визначається для групи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(на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рiвнi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портфеля)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вiдповiдних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доказiв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яку Товариство має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намiр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здiйснити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для досягнення мети, встановленої для портфеля, наявного на дату проведення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Фактори, що враховуються Товариством при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визначеннi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бiзнес-</w:t>
      </w:r>
      <w:r w:rsidRPr="00055A19">
        <w:rPr>
          <w:rFonts w:ascii="Times New Roman CYR" w:hAnsi="Times New Roman CYR" w:cs="Times New Roman CYR"/>
          <w:sz w:val="24"/>
          <w:szCs w:val="24"/>
        </w:rPr>
        <w:lastRenderedPageBreak/>
        <w:t>моделi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включають мету i склад портфеля, минулий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досвiд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отримання грошових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вiдповiдних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пiдходи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ризиками, методи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прибутковостi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i схему виплат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керiвникам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52399530" w14:textId="14E4CC9D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Станом на 3</w:t>
      </w:r>
      <w:r w:rsidR="000A2779" w:rsidRPr="00055A19">
        <w:rPr>
          <w:rFonts w:ascii="Times New Roman CYR" w:hAnsi="Times New Roman CYR" w:cs="Times New Roman CYR"/>
          <w:sz w:val="24"/>
          <w:szCs w:val="24"/>
        </w:rPr>
        <w:t>0</w:t>
      </w:r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0A2779" w:rsidRPr="00055A19">
        <w:rPr>
          <w:rFonts w:ascii="Times New Roman CYR" w:hAnsi="Times New Roman CYR" w:cs="Times New Roman CYR"/>
          <w:sz w:val="24"/>
          <w:szCs w:val="24"/>
        </w:rPr>
        <w:t>вересня</w:t>
      </w:r>
      <w:r w:rsidRPr="00055A19">
        <w:rPr>
          <w:rFonts w:ascii="Times New Roman CYR" w:hAnsi="Times New Roman CYR" w:cs="Times New Roman CYR"/>
          <w:sz w:val="24"/>
          <w:szCs w:val="24"/>
        </w:rPr>
        <w:t xml:space="preserve"> 202</w:t>
      </w:r>
      <w:r w:rsidR="000A2779" w:rsidRPr="00055A19">
        <w:rPr>
          <w:rFonts w:ascii="Times New Roman CYR" w:hAnsi="Times New Roman CYR" w:cs="Times New Roman CYR"/>
          <w:sz w:val="24"/>
          <w:szCs w:val="24"/>
        </w:rPr>
        <w:t>4</w:t>
      </w:r>
      <w:r w:rsidRPr="00055A19">
        <w:rPr>
          <w:rFonts w:ascii="Times New Roman CYR" w:hAnsi="Times New Roman CYR" w:cs="Times New Roman CYR"/>
          <w:sz w:val="24"/>
          <w:szCs w:val="24"/>
        </w:rPr>
        <w:t xml:space="preserve"> року Товариство не мало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через прибуток або збиток або через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iнший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сукупний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Товариство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класифiкує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торгову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дебiторську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заборгованiсть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позики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наданi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утримуються для отримання контрактних грошових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i тому в подальшому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оцiнюється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 амортизованою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 використанням методу ефективної ставки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за вирахуванням резерву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кредитнi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збитки. </w:t>
      </w:r>
    </w:p>
    <w:p w14:paraId="061D3EA3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iнструменти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рекласифiкуються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тiльки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коли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змiнюється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-модель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цим портфелем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цiлому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Рекласифiкацiя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проводиться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перспективно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 початку першого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бiзнес-моделi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Товариство не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змiнювало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свою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-модель протягом поточного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i не проводила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рекласифiкацiю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2AF8B1C8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Знецiнення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оцiночний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резерв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кредитнi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збитки</w:t>
      </w:r>
    </w:p>
    <w:p w14:paraId="21C912D6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На кожну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звiтну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дату щодо окремого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активу або групи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Товариство визнає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вiдповiдний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резерв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кредитнi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збитки, що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 весь строк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iнструменту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якщо кредитний ризик за таким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фiнансовим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iнструментом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значно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зрiс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моменту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первiсного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визнання. Якщо станом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звiтну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дату кредитний ризик за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фiнансовим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iнструментом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не зазнав  значного зростання з моменту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первiсного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визнання, то резерв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збитки за таким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фiнансовим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iнструментом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оцiнюється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дорiвнює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12-мiсячним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очiкуваним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кредитним збиткам. </w:t>
      </w:r>
    </w:p>
    <w:p w14:paraId="39E452AA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Щодо торговельної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дебiторської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заборгованостi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Товариство завжди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оцiнює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резерв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збитки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дорiвнює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очiкуваним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кредитним збиткам за весь строк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такого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iнструменту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Витрати на створення резерву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кредитнi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збитки щодо торговельної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дебiторської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заборгованостi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вiдображаються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статтi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операцiйнi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витрати" в окремому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про сукупний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07442312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Списання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</w:p>
    <w:p w14:paraId="5C021ED0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кредитнi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збитки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Товариством виходячи з об'єктивної та зваженої за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ймовiрнiстю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суми, визначеної шляхом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певного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дiапазону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можливих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з урахуванням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грошей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часi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базуючись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обгрунтовано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необхiднiй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пiдтверджуванiй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минулi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поточнi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умови та прогнози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майбутнiх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умов, що може бути одержана без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надмiрних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витрат або зусиль станом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звiтну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дату.</w:t>
      </w:r>
    </w:p>
    <w:p w14:paraId="5864F105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активи списуються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цiлком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або частково, коли Товариство вичерпало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практичнi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можливостi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щодо їх стягнення i прийшла до висновку про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необгрунтованiсть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очiкувань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вiдшкодування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таких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Списання є припиненням визнання. Ознаки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вiдсутностi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обгрунтованих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очiкувань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щодо стягнення включають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наступнi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фактори:</w:t>
      </w:r>
    </w:p>
    <w:p w14:paraId="337F3664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-</w:t>
      </w:r>
      <w:r w:rsidRPr="00055A19">
        <w:rPr>
          <w:rFonts w:ascii="Times New Roman CYR" w:hAnsi="Times New Roman CYR" w:cs="Times New Roman CYR"/>
          <w:sz w:val="24"/>
          <w:szCs w:val="24"/>
        </w:rPr>
        <w:tab/>
        <w:t xml:space="preserve">контрагент зазнає значних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труднощiв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пiдтверджується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iнформацiєю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про контрагента, що знаходиться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розпорядженнi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Товариства;</w:t>
      </w:r>
    </w:p>
    <w:p w14:paraId="3256718C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-</w:t>
      </w:r>
      <w:r w:rsidRPr="00055A19">
        <w:rPr>
          <w:rFonts w:ascii="Times New Roman CYR" w:hAnsi="Times New Roman CYR" w:cs="Times New Roman CYR"/>
          <w:sz w:val="24"/>
          <w:szCs w:val="24"/>
        </w:rPr>
        <w:tab/>
        <w:t xml:space="preserve">контрагент розглядає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можливiсть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оголошення банкрутства або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;</w:t>
      </w:r>
    </w:p>
    <w:p w14:paraId="394ECBD2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-</w:t>
      </w:r>
      <w:r w:rsidRPr="00055A19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iснує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негативна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змiна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платiжного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статусу контрагента, обумовлена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змiнами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нацiональних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мiсцевих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умов, що впливають на контрагента.</w:t>
      </w:r>
    </w:p>
    <w:p w14:paraId="1EEE0777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Товариство може списати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активи, щодо яких ще вживаються заходи щодо примусового стягнення, коли Товариство намагається стягнути суми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заборгованостi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 договором, хоча у неї немає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обгрунтованих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очiкувань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щодо їх стягнення. </w:t>
      </w:r>
    </w:p>
    <w:p w14:paraId="2CA12158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зобов'язання </w:t>
      </w:r>
    </w:p>
    <w:p w14:paraId="3C8900E4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Первiсне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визнання та подальша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зобов'язань</w:t>
      </w:r>
    </w:p>
    <w:p w14:paraId="6EF3EF16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Товариство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класифiкує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свої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зобов'язання за наступними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категорiями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: кредити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торгова кредиторська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заборгованiсть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Товариство не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класифiкувало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жодних своїх зобов'язань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зобов'язань,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облiкованих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через прибуток або збиток,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зобов'язань, що виникають 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невiдповiдностi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передачi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активу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критерiям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щодо припинення визнання або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застосування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пiдходу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подальшої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гарантiї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зобов'язань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надання позики за ставкою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нижчою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ринкової.</w:t>
      </w:r>
    </w:p>
    <w:p w14:paraId="1F280B0B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Усi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зобов'язання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первiсно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визнаються за їх справедливою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 вирахуванням (за виключенням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зобов'язань, що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через прибуток або </w:t>
      </w:r>
      <w:r w:rsidRPr="00055A19">
        <w:rPr>
          <w:rFonts w:ascii="Times New Roman CYR" w:hAnsi="Times New Roman CYR" w:cs="Times New Roman CYR"/>
          <w:sz w:val="24"/>
          <w:szCs w:val="24"/>
        </w:rPr>
        <w:lastRenderedPageBreak/>
        <w:t xml:space="preserve">збиток) витрат за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операцiєю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що можуть бути безпосередньо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пов'язанi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 випуском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зобов'язання.</w:t>
      </w:r>
    </w:p>
    <w:p w14:paraId="5E3C55C6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первiсного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визнання Товариство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оцiнює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свої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зобов'язання за амортизованою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собiвартiстю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 використанням методу ефективної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вiдсоткової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ставки. Метод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вiдсоткової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ставки передбачає, що витрати за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вiдсотками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протягом строку до погашення сплачуються за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постiйною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ставкою до залишку зобов'язання, що визнається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стан. "Витрати за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вiдсотками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" в даному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контекстi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включають в себе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початковi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операцiйнi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витрати i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вiдсотки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 сплати при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погашеннi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, а також будь-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вiдсотки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 сплати, 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якщо зобов'язання не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сплаченi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4BB37049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Припинення визнання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зобов'язань</w:t>
      </w:r>
    </w:p>
    <w:p w14:paraId="3DE774D0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Припинення визнання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зобов'язання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вiдбувається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у випадку виконання, анулювання або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строку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вiдповiдного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зобов'язання.</w:t>
      </w:r>
    </w:p>
    <w:p w14:paraId="737936A9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Взаємозалiк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</w:p>
    <w:p w14:paraId="0C32EF34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активи i зобов'язання згортаються i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стан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вiдображаються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 чистою величиною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тiльки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 тих випадках, коли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iснує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юридично визначене право провести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взаємозалiк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вiдображених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сум, а також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намiр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або провести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взаємозалiк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або одночасно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реалiзувати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актив i погасити зобов'язання. Право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взаємозалiк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що розглядається, не повинно залежати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можливих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майбутнiх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подiй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i повинно мати юридичну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можливiсть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 наступних обставин: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ходi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звичайної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-господарської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при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невиконаннi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зобов'язань за платежем (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подiя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дефолту) i 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неспроможностi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або банкрутства. </w:t>
      </w:r>
    </w:p>
    <w:p w14:paraId="190F5078" w14:textId="77777777" w:rsidR="00FC6662" w:rsidRPr="00055A19" w:rsidRDefault="00FC6662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B8ED65E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4. Опис обраної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достатнiсть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робочого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для поточних потреб,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можливi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шляхи покращення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31C2DEFE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ПАТ НВЦ "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ХФЗ" знаходиться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фазi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постiйного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економiчного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зростання.</w:t>
      </w:r>
    </w:p>
    <w:p w14:paraId="1BF18015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За результатами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останнiх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чистi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грошовi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потоки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операцiйної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ПАТ НВЦ "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ХФЗ" мали додатне значення, що було забезпечено, насамперед, надходженням виручки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основної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реалiзацiя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лiкарських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).</w:t>
      </w:r>
    </w:p>
    <w:p w14:paraId="1ACB55E3" w14:textId="167A69BC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Джерелами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iнвестицiйної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капiтальних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ремонтiв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реконструкцiї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придбання основних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тощо), а також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(виплати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дивiдендiв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) протягом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року, виступали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власнi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кошти.</w:t>
      </w:r>
    </w:p>
    <w:p w14:paraId="05AA980C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Робочого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достатньо.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шляхiв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покращення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не проводилась.</w:t>
      </w:r>
    </w:p>
    <w:p w14:paraId="7C97A8C5" w14:textId="77777777" w:rsidR="00FC6662" w:rsidRPr="00055A19" w:rsidRDefault="00FC6662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1329868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5) опис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розробок, сума витрат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дослiдження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розробку за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;</w:t>
      </w:r>
    </w:p>
    <w:p w14:paraId="6D0DBDF2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В 2024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 затвердженого Плану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робiт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 розширення номенклатури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проводиться робота по 11 препаратах у 4-х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лiкарських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формах,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фармацевтична розробка 6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препаратiв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продовжується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дослiдження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бiоеквiвалентностi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1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лiкарського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засобу.</w:t>
      </w:r>
    </w:p>
    <w:p w14:paraId="433CE9E5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Сума витрат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дослiдження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розробку: </w:t>
      </w:r>
    </w:p>
    <w:p w14:paraId="12E5CF22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9мiс. 2024      9мiс. 2023</w:t>
      </w:r>
    </w:p>
    <w:p w14:paraId="15481622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Витрати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дослiдження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розробку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препаратiв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ab/>
      </w:r>
      <w:r w:rsidRPr="00055A19">
        <w:rPr>
          <w:rFonts w:ascii="Times New Roman CYR" w:hAnsi="Times New Roman CYR" w:cs="Times New Roman CYR"/>
          <w:sz w:val="24"/>
          <w:szCs w:val="24"/>
        </w:rPr>
        <w:tab/>
        <w:t>(11 064)</w:t>
      </w:r>
      <w:r w:rsidRPr="00055A19">
        <w:rPr>
          <w:rFonts w:ascii="Times New Roman CYR" w:hAnsi="Times New Roman CYR" w:cs="Times New Roman CYR"/>
          <w:sz w:val="24"/>
          <w:szCs w:val="24"/>
        </w:rPr>
        <w:tab/>
        <w:t xml:space="preserve">   (11 511). </w:t>
      </w:r>
    </w:p>
    <w:p w14:paraId="0985D479" w14:textId="77777777" w:rsidR="00FC6662" w:rsidRPr="00055A19" w:rsidRDefault="00FC6662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E34C952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6.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або послуг) особи:</w:t>
      </w:r>
    </w:p>
    <w:p w14:paraId="7A1C44CC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1) опис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та/або послуг),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виробляє/надає особа;</w:t>
      </w:r>
    </w:p>
    <w:p w14:paraId="2988499C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ПАТ НВЦ "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ХФЗ"  має збалансований продуктовий портфель: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лiкарськi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засоби (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100 найменувань), препарати для ветеринарної медицини,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дiєтичнi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харчовi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добавки (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БАДи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дезiнфiкуючi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засоби; займає одне з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провiдних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мiсць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 обсягами виробництва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готових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лiкарських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серед українських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виробникiв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; виготовляє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продукцiю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рiзних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цiнових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груп та є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соцiально-орiєнтованим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Номенклатура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що виробляється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пiдприємствi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складає близько 130 найменувань.</w:t>
      </w:r>
    </w:p>
    <w:p w14:paraId="6C7CB71E" w14:textId="77777777" w:rsidR="00FC6662" w:rsidRPr="00055A19" w:rsidRDefault="00FC6662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789E4C0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2) обсяги виробництва (у натуральному та грошовому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виразi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);</w:t>
      </w:r>
    </w:p>
    <w:p w14:paraId="50194E20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обсяги виробництва у натуральному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виразi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- 25,1 млн.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уп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75D6FA30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обсяги виробництва у грошовому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виразi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- 1 544,6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млн.грн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5348F81A" w14:textId="77777777" w:rsidR="00FC6662" w:rsidRPr="00055A19" w:rsidRDefault="00FC6662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162D03E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середньореалiзацiйнi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;</w:t>
      </w:r>
    </w:p>
    <w:p w14:paraId="36DBA959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lastRenderedPageBreak/>
        <w:t>48,87  грн.;</w:t>
      </w:r>
    </w:p>
    <w:p w14:paraId="23FC9878" w14:textId="77777777" w:rsidR="00FC6662" w:rsidRPr="00055A19" w:rsidRDefault="00FC6662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C7204F8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4) загальна сума виручки;</w:t>
      </w:r>
    </w:p>
    <w:p w14:paraId="2D355B9D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1498673 тис. грн.;</w:t>
      </w:r>
    </w:p>
    <w:p w14:paraId="73084E61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5) загальна сума експорту, частка експорту в загальному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;</w:t>
      </w:r>
    </w:p>
    <w:p w14:paraId="20B3CFDC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загальна сума експорту - 214,6 млн. грн., частка експорту в загальному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доходi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-14,3%.</w:t>
      </w:r>
    </w:p>
    <w:p w14:paraId="2D39DEB3" w14:textId="77777777" w:rsidR="00FC6662" w:rsidRPr="00055A19" w:rsidRDefault="00FC6662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0214036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6)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залежнiсть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сезонних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;</w:t>
      </w:r>
    </w:p>
    <w:p w14:paraId="36A92086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Враховуючи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специфiку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, ПАТ НВЦ "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ХФЗ" є залежним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сезонних коливань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що характеризуються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пiками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рiзних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захворювань 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вiдповiднi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пори року. </w:t>
      </w:r>
    </w:p>
    <w:p w14:paraId="11518468" w14:textId="77777777" w:rsidR="00FC6662" w:rsidRPr="00055A19" w:rsidRDefault="00FC6662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F514772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7)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клiєнти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5 % 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загальнiй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сумi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виручки);</w:t>
      </w:r>
    </w:p>
    <w:p w14:paraId="6C2ECD0F" w14:textId="02316071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trike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Основними покупцями 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були: ТОВ "БАДМ", ТОВ СП "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Оптiмафарм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ЛТД"</w:t>
      </w:r>
      <w:r w:rsidR="00CB55FC"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5A7DA0F9" w14:textId="77777777" w:rsidR="00FC6662" w:rsidRPr="00055A19" w:rsidRDefault="00FC6662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0955949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8) ринки збуту та країни, в яких особою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;</w:t>
      </w:r>
    </w:p>
    <w:p w14:paraId="1C8EFD6B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За 9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мiсяцiв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2024 року ПАТ НВЦ "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ХФЗ" експортував власну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продукцiю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 17 країн: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Австралiя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Азербайджан,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Болгарiя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Боснiя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i Герцеговина,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Грузiя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Iзраїль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Iрак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Казахстан,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Латвiя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Литва, Молдова, Польща,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Румунiя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США, Таджикистан, Узбекистан,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Хорватiя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349CB8AE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Основним ринком збуту для ПАТ НВЦ "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ХФЗ" залишається Україна, частка якої в загальному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складає 85,7 %. </w:t>
      </w:r>
    </w:p>
    <w:p w14:paraId="7B65B7A2" w14:textId="77777777" w:rsidR="00FC6662" w:rsidRPr="00055A19" w:rsidRDefault="00FC6662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842CC8C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9) канали збуту;</w:t>
      </w:r>
    </w:p>
    <w:p w14:paraId="05ADD2BB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Збутова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ПАТ НВЦ "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ХФЗ"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 вимог Належної практики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дистрибуцiї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(GDP), забезпечуючи збереження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вироблених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етапi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зберiгання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транспортування,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мережi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розподiлу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надання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лiкарю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пацiєнту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787A086D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Вибiр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пiдходiв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органiзацiї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збуту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 урахуванням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аналiзу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конкурентного середовища, товарного портфеля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прогнозування та планування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обсягiв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збуту, а також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маркетингових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7CA23C26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Найбiльш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важливим завданням збуту є розширення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долi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ринку.</w:t>
      </w:r>
    </w:p>
    <w:p w14:paraId="76EA7610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Для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рацiональної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роботи системи збуту з урахуванням особливостей ринку, були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канали збуту та його суб'єкти (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дистриб'юторськi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аптечнi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мережi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госпiтальний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сегмент),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органiзовано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контроль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каналiв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збуту, розроблено та введено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систему їх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мотивацiй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1BC0322F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Логiстика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збуту планується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 замовлень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мiнiмальними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витратами на складання товару, його упаковку, вантажно-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розвантажувальнi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роботи та транспортування. </w:t>
      </w:r>
    </w:p>
    <w:p w14:paraId="3751FDFB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Для забезпечення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процесу продаж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пiдприємствi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визначений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пiдтримується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оптимальний обсяг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ГЛЗ, регулярно ведуться роботи по зменшенню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втрачених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обсягiв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продажу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внаслiдок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вiдсутностi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необхiдних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товарних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дефектура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економiя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 рахунок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оптимiзацiї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маршрутiв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доставки ГЛЗ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вантажомiсткостi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транспортних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5F8955E8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Просуванням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ПАТ НВЦ "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ХФЗ" займається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вiддiл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регiональної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торгiвлi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Для роботи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спецiалiстами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лiкарями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провiзорами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) працює мережа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медпредставникiв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завданням яких є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iнформування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спецiалiстiв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вiдповiдних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регiонiв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фiрм-дистриб'юторiв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новi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лiкарськi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засоби,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випущенi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формування позитивного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iмiджу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забезпечення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впiзнаваностi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зворотного зв'язку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лiкарiв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 виробника.</w:t>
      </w:r>
    </w:p>
    <w:p w14:paraId="32B18950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Збут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вiдбувається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через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фiрми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- дистриб'ютори, на складах яких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перiодично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проводяться аудити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спецiалiстами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вiддiлу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якiстю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вiддiлу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збуту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для зведення до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мiнiмуму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ризику зниження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етапi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її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зберiгання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5FED8858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Обслуговування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вiдбувається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 використанням ERP - системи, що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функцiонує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пiдприємствi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36948058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купiвлi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-продажу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мiж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виробником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фiрмами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- дистриб'юторами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здiйснюються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 укладених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7A0C8AC7" w14:textId="77777777" w:rsidR="00FC6662" w:rsidRPr="00055A19" w:rsidRDefault="00FC6662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E34FA30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10)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постачальники та види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та/або послуг,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вони постачають/надають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особi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країни з </w:t>
      </w:r>
      <w:r w:rsidRPr="00055A19">
        <w:rPr>
          <w:rFonts w:ascii="Times New Roman CYR" w:hAnsi="Times New Roman CYR" w:cs="Times New Roman CYR"/>
          <w:sz w:val="24"/>
          <w:szCs w:val="24"/>
        </w:rPr>
        <w:lastRenderedPageBreak/>
        <w:t xml:space="preserve">яких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постачання/надання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/послуг;</w:t>
      </w:r>
    </w:p>
    <w:p w14:paraId="616EF40E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постачальники за  9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мiсяцiв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2024 року: </w:t>
      </w:r>
    </w:p>
    <w:p w14:paraId="78959726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Постачальник</w:t>
      </w:r>
      <w:r w:rsidRPr="00055A19">
        <w:rPr>
          <w:rFonts w:ascii="Times New Roman CYR" w:hAnsi="Times New Roman CYR" w:cs="Times New Roman CYR"/>
          <w:sz w:val="24"/>
          <w:szCs w:val="24"/>
        </w:rPr>
        <w:tab/>
      </w:r>
      <w:r w:rsidRPr="00055A19">
        <w:rPr>
          <w:rFonts w:ascii="Times New Roman CYR" w:hAnsi="Times New Roman CYR" w:cs="Times New Roman CYR"/>
          <w:sz w:val="24"/>
          <w:szCs w:val="24"/>
        </w:rPr>
        <w:tab/>
        <w:t>Країна</w:t>
      </w:r>
      <w:r w:rsidRPr="00055A19">
        <w:rPr>
          <w:rFonts w:ascii="Times New Roman CYR" w:hAnsi="Times New Roman CYR" w:cs="Times New Roman CYR"/>
          <w:sz w:val="24"/>
          <w:szCs w:val="24"/>
        </w:rPr>
        <w:tab/>
      </w:r>
      <w:r w:rsidRPr="00055A19">
        <w:rPr>
          <w:rFonts w:ascii="Times New Roman CYR" w:hAnsi="Times New Roman CYR" w:cs="Times New Roman CYR"/>
          <w:sz w:val="24"/>
          <w:szCs w:val="24"/>
        </w:rPr>
        <w:tab/>
      </w:r>
      <w:r w:rsidRPr="00055A19">
        <w:rPr>
          <w:rFonts w:ascii="Times New Roman CYR" w:hAnsi="Times New Roman CYR" w:cs="Times New Roman CYR"/>
          <w:sz w:val="24"/>
          <w:szCs w:val="24"/>
        </w:rPr>
        <w:tab/>
        <w:t>Предмет поставки</w:t>
      </w:r>
    </w:p>
    <w:p w14:paraId="1DD47362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Synthon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BV</w:t>
      </w:r>
      <w:r w:rsidRPr="00055A19">
        <w:rPr>
          <w:rFonts w:ascii="Times New Roman CYR" w:hAnsi="Times New Roman CYR" w:cs="Times New Roman CYR"/>
          <w:sz w:val="24"/>
          <w:szCs w:val="24"/>
        </w:rPr>
        <w:tab/>
      </w:r>
      <w:r w:rsidRPr="00055A19">
        <w:rPr>
          <w:rFonts w:ascii="Times New Roman CYR" w:hAnsi="Times New Roman CYR" w:cs="Times New Roman CYR"/>
          <w:sz w:val="24"/>
          <w:szCs w:val="24"/>
        </w:rPr>
        <w:tab/>
      </w:r>
      <w:r w:rsidRPr="00055A19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Iпанiя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ab/>
      </w:r>
      <w:r w:rsidRPr="00055A19">
        <w:rPr>
          <w:rFonts w:ascii="Times New Roman CYR" w:hAnsi="Times New Roman CYR" w:cs="Times New Roman CYR"/>
          <w:sz w:val="24"/>
          <w:szCs w:val="24"/>
        </w:rPr>
        <w:tab/>
      </w:r>
      <w:r w:rsidRPr="00055A19">
        <w:rPr>
          <w:rFonts w:ascii="Times New Roman CYR" w:hAnsi="Times New Roman CYR" w:cs="Times New Roman CYR"/>
          <w:sz w:val="24"/>
          <w:szCs w:val="24"/>
        </w:rPr>
        <w:tab/>
        <w:t>сировина</w:t>
      </w:r>
    </w:p>
    <w:p w14:paraId="7A5B43B3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VITAMED SKUPINA</w:t>
      </w:r>
      <w:r w:rsidRPr="00055A19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Словенiя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ab/>
      </w:r>
      <w:r w:rsidRPr="00055A19">
        <w:rPr>
          <w:rFonts w:ascii="Times New Roman CYR" w:hAnsi="Times New Roman CYR" w:cs="Times New Roman CYR"/>
          <w:sz w:val="24"/>
          <w:szCs w:val="24"/>
        </w:rPr>
        <w:tab/>
        <w:t>сировина</w:t>
      </w:r>
    </w:p>
    <w:p w14:paraId="1A4126B6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АГРОФАРМ  ТОВ IРПIНЬ</w:t>
      </w:r>
      <w:r w:rsidRPr="00055A19">
        <w:rPr>
          <w:rFonts w:ascii="Times New Roman CYR" w:hAnsi="Times New Roman CYR" w:cs="Times New Roman CYR"/>
          <w:sz w:val="24"/>
          <w:szCs w:val="24"/>
        </w:rPr>
        <w:tab/>
        <w:t>Україна</w:t>
      </w:r>
      <w:r w:rsidRPr="00055A19">
        <w:rPr>
          <w:rFonts w:ascii="Times New Roman CYR" w:hAnsi="Times New Roman CYR" w:cs="Times New Roman CYR"/>
          <w:sz w:val="24"/>
          <w:szCs w:val="24"/>
        </w:rPr>
        <w:tab/>
      </w:r>
      <w:r w:rsidRPr="00055A19">
        <w:rPr>
          <w:rFonts w:ascii="Times New Roman CYR" w:hAnsi="Times New Roman CYR" w:cs="Times New Roman CYR"/>
          <w:sz w:val="24"/>
          <w:szCs w:val="24"/>
        </w:rPr>
        <w:tab/>
        <w:t>медикаменти</w:t>
      </w:r>
    </w:p>
    <w:p w14:paraId="5076D12F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APIGAL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d.o.o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  <w:r w:rsidRPr="00055A19">
        <w:rPr>
          <w:rFonts w:ascii="Times New Roman CYR" w:hAnsi="Times New Roman CYR" w:cs="Times New Roman CYR"/>
          <w:sz w:val="24"/>
          <w:szCs w:val="24"/>
        </w:rPr>
        <w:tab/>
      </w:r>
      <w:r w:rsidRPr="00055A19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Словенiя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ab/>
      </w:r>
      <w:r w:rsidRPr="00055A19">
        <w:rPr>
          <w:rFonts w:ascii="Times New Roman CYR" w:hAnsi="Times New Roman CYR" w:cs="Times New Roman CYR"/>
          <w:sz w:val="24"/>
          <w:szCs w:val="24"/>
        </w:rPr>
        <w:tab/>
        <w:t>сировина</w:t>
      </w:r>
    </w:p>
    <w:p w14:paraId="7943D355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НАТУР+ ТОВ</w:t>
      </w:r>
      <w:r w:rsidRPr="00055A19">
        <w:rPr>
          <w:rFonts w:ascii="Times New Roman CYR" w:hAnsi="Times New Roman CYR" w:cs="Times New Roman CYR"/>
          <w:sz w:val="24"/>
          <w:szCs w:val="24"/>
        </w:rPr>
        <w:tab/>
      </w:r>
      <w:r w:rsidRPr="00055A19">
        <w:rPr>
          <w:rFonts w:ascii="Times New Roman CYR" w:hAnsi="Times New Roman CYR" w:cs="Times New Roman CYR"/>
          <w:sz w:val="24"/>
          <w:szCs w:val="24"/>
        </w:rPr>
        <w:tab/>
        <w:t>Україна</w:t>
      </w:r>
      <w:r w:rsidRPr="00055A19">
        <w:rPr>
          <w:rFonts w:ascii="Times New Roman CYR" w:hAnsi="Times New Roman CYR" w:cs="Times New Roman CYR"/>
          <w:sz w:val="24"/>
          <w:szCs w:val="24"/>
        </w:rPr>
        <w:tab/>
      </w:r>
      <w:r w:rsidRPr="00055A19">
        <w:rPr>
          <w:rFonts w:ascii="Times New Roman CYR" w:hAnsi="Times New Roman CYR" w:cs="Times New Roman CYR"/>
          <w:sz w:val="24"/>
          <w:szCs w:val="24"/>
        </w:rPr>
        <w:tab/>
        <w:t>медикаменти</w:t>
      </w:r>
    </w:p>
    <w:p w14:paraId="3A0F6D39" w14:textId="77777777" w:rsidR="00FC6662" w:rsidRPr="00055A19" w:rsidRDefault="00FC6662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CDDFB98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11)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особливостi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стану розвитку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особа;</w:t>
      </w:r>
    </w:p>
    <w:p w14:paraId="6B09F8E4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Сфера охорони здоров'я завжди залишається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прiоритетним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напрямом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суспiльства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i держави. Потужну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нiшу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системi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охорони здоров'я формує фармацевтична сфера.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Сьогоднi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свiтi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виробництво фармацевтичних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препаратiв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однiєю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найперспективнiших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галузей. Протягом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кiлькох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останнiх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свiтовий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ринок фармацевтики демонструє сталу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тенденцiю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зростання.</w:t>
      </w:r>
    </w:p>
    <w:p w14:paraId="789E3AA3" w14:textId="77777777" w:rsidR="00FC6662" w:rsidRPr="00055A19" w:rsidRDefault="00FC6662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93C6A23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12) опис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використовує особа у своїй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;</w:t>
      </w:r>
    </w:p>
    <w:p w14:paraId="4DC0A259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Технологiя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виробництва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лiкiв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складається з низки однотипних (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фiзичних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фiзико-хiмiчних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хiмiчних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процесiв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характеризуються загальними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закономiрностями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Цi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технологiчнi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процеси 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виробництвi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рiзних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лiкiв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проводяться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аналогiчних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 принципом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машинах та апаратах.</w:t>
      </w:r>
    </w:p>
    <w:p w14:paraId="7220FDCE" w14:textId="77777777" w:rsidR="00FC6662" w:rsidRPr="00055A19" w:rsidRDefault="00FC6662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6B5C0FE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13)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особи на ринку, на якому вона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;</w:t>
      </w:r>
    </w:p>
    <w:p w14:paraId="35B9C58A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Серед основних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вiтчизняних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конкурентiв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ПАТ НВЦ "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ХФЗ", за результатами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роздрiбних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 9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мiсяцiв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2024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займає 11-ту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позицiю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показником в 1 320 093,8 тис. грн.</w:t>
      </w:r>
    </w:p>
    <w:p w14:paraId="32DBFCF3" w14:textId="77777777" w:rsidR="00FC6662" w:rsidRPr="00055A19" w:rsidRDefault="00FC6662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C83CA7F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14)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конкуренцiя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конкуренти особи;</w:t>
      </w:r>
    </w:p>
    <w:p w14:paraId="26FC4A46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Конкурентне середовище або ринок, на якому працює ПАТ НВЦ "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ХФЗ" 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мав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характеристики: за даними БД "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Морiон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" обсяг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роздрiбного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сегмента фармацевтичного ринку України за 9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мiсяцiв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2024 р. склав 124 319 641,6 тис. грн. та 704 582 826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уп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При цьому обсяг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українських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виробникiв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склав 47 385 116,2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тис.грн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., а в упаковках 447 119 964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уп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 вищезазначеного частка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вiтчизняних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фармвиробникiв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у грошовому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виразi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становить 38,1%.</w:t>
      </w:r>
    </w:p>
    <w:p w14:paraId="37BA14A1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Серед основних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конкурентiв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ПАТ НВЦ "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ХФЗ"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вiтчизняному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закордонному ринках можна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вiдмiтити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таких, як ПАТ "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Фармак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", ПрАТ "ФФ Дарниця",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корпорацiя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Артерiум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", ПАТ "Київський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вiтамiнний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завод", фармацевтична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компанiя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"Здоров'я", Фармацевтична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корпорацiя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Юрiя-Фарм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", ТДВ "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Iнтерхiм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", Група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компанiй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Кусум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",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Acino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Швейцарiя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)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78B63CFA" w14:textId="77777777" w:rsidR="00FC6662" w:rsidRPr="00055A19" w:rsidRDefault="00FC6662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24E3085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15)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перспективнi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плани розвитку особи;</w:t>
      </w:r>
    </w:p>
    <w:p w14:paraId="0CA80ECC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ПАТ НВЦ "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ХФЗ" розроблено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стратегiєю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власного розвитку 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довгостроковiй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перспективi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Так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стратегiчного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плану розвитку ПАТ НВЦ "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ХФЗ" на 2024 - 2026 роки визначено розробку, проведення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доклiнiчних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клiнiчних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випробувань, впровадження у виробництво та виведення на ринок багатьох нових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лiкарських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264C6F98" w14:textId="77777777" w:rsidR="00FC6662" w:rsidRPr="00055A19" w:rsidRDefault="00FC6662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D61EFA0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7. Опис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як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притаманнi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пiдходи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ризиками, заходи особи щодо зменшення впливу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1132C0C8" w14:textId="77777777" w:rsidR="00FC6662" w:rsidRPr="00055A19" w:rsidRDefault="00FC6662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31A66CF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Група зазнає впливу наступних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: ринковий ризик, кредитний ризик та ризик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Стратегiчна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полiтика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менеджменту Групи спрямована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аналiз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непередбачуваностi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пошуку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шляхiв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зниження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потенцiйного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негативного ефекту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результати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Групи.</w:t>
      </w:r>
    </w:p>
    <w:p w14:paraId="06E70F36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Ринковий ризик</w:t>
      </w:r>
    </w:p>
    <w:p w14:paraId="693F2F54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Ринковий ризик є ризиком того, що справедлива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майбутнiх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грошових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буде коливатися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ринкових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цiн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Ринковий ризик включає три види ризику: валютний ризик, ризик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вiдсоткової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ставки та ризик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До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055A19">
        <w:rPr>
          <w:rFonts w:ascii="Times New Roman CYR" w:hAnsi="Times New Roman CYR" w:cs="Times New Roman CYR"/>
          <w:sz w:val="24"/>
          <w:szCs w:val="24"/>
        </w:rPr>
        <w:lastRenderedPageBreak/>
        <w:t xml:space="preserve">зазнають впливу ринкового ризику,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вiдносяться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кредити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отриманi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позики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наданi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короткостроковi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депозити.</w:t>
      </w:r>
    </w:p>
    <w:p w14:paraId="3807A9DE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Валютний ризик </w:t>
      </w:r>
    </w:p>
    <w:p w14:paraId="190C8942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Група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суттєвi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iноземними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контрагентами, як покупцями готової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так i постачальниками обладнання i сировини. Таким чином, Група є чутливою до впливу валютного ризику, особливо в умовах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нестабiльностi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курсу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нацiональної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валюти, що значно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збiльшує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її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потенцiйнi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втрати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курсових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рiзниць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Однак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керiвництво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Групи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оперативне спостереження за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динамiкою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валютних котирувань та вживає заходи щодо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мiнiмiзацiї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втрат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коливань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iноземнi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валюти.</w:t>
      </w:r>
    </w:p>
    <w:p w14:paraId="10FA7A21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Ризик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вiдсоткової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ставки</w:t>
      </w:r>
    </w:p>
    <w:p w14:paraId="742BEC99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Вiдсотковий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ризик - це ризик того, що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плаваючих ставок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вiдсотку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негативно впливатимуть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результати Групи. Група не використовує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похiдних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доступнiстю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вiдсотковому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ризиковi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одночасно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активи та зобов'язання Групи мають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фiксованi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ставки, тому цей ризик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542094A7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Ризик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00F3BA3E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Ризик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обумовлений високим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рiвнем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конкуренцiї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серед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Багато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iноземних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компанiй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нарощують або планують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збiльшити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свої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виробничi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Намiтилася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консолiдацiя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базi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декiлькох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найпотужнiших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цi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чинники призводять до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цiнової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маркетингової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Групи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аналогiчної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конкурентiв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Ризики коливання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цiн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на ринку планується частково знизити за рахунок розробки нових конкурентоспроможних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лiкарських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препаратiв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213C7B65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Кредитний ризик </w:t>
      </w:r>
    </w:p>
    <w:p w14:paraId="2856A53D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Кредитний ризик Групи обмежується її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активами. Група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постiйно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монiторинг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своєчасностi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погашення покупцями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контрагентами своїх зобов'язань та враховує дану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управлiннi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кредитними ризиками та при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аналiзi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дотримання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платiжної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дисциплiни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Її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активи не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забезпеченi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заставою,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кредитними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гарантiями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Середнi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строки оплати основними дистриб'юторами Групи за поставлену їм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продукцiю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не перевищують 60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днiв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1F0DE872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Ризик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739B1FFC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Ризик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- це ризик того, що Група не буде спроможною погасити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зобов'язання, коли настане строк сплати. Група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ретельний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монiторинг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запланованих погашень довгострокових зобов'язань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прогнозiв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щодо грошових надходжень та виплат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процесi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звичайної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операцiйної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Данi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використовуються для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аналiзу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вiдповiдних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грошових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вiдповiдають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даним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21270271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Лiквiднiсть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аналiзується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розрiзi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багатьох часових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промiжкiв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: щоденно, щотижня, 30-ти денне прогнозування, виходячи з попереднього дня.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Довгостроковi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потреби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для 180 та 360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днiв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розглядаються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щомiсячнiй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Чистi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потреби в грошових коштах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порiвнюються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iснуючими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борговими зобов'язаннями з метою визначення прогалин та нестач.</w:t>
      </w:r>
    </w:p>
    <w:p w14:paraId="258149FA" w14:textId="77777777" w:rsidR="00FC6662" w:rsidRPr="00055A19" w:rsidRDefault="00FC6662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BFFB2E4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8.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Стратегiя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подальшої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особи щонайменше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(щодо розширення виробництва,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реконструкцiї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стану, опис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iстотних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факторiв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можуть вплинути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особи в майбутньому).</w:t>
      </w:r>
    </w:p>
    <w:p w14:paraId="4B7EC213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Враховуючи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зовнiшнi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внутрiшнi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фактори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мiнливiсть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споживчого попиту фармацевтичного ринку, посилення вимог до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лiкарських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а також жорстку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конкуренцiю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на ринку,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стратегiя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прiоритетнiсть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розвитку ПАТ НВЦ "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ХФЗ" спрямована на:</w:t>
      </w:r>
    </w:p>
    <w:p w14:paraId="58E82672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1) Розвиток наукової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Пiдприємство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працює над розробкою нових та вдосконаленням вже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iснуючих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генеричних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лiкарських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5D17D18F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2)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Модернiзацiю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дiючих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введення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нових виробничих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потужностей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до вимог належної виробничої практики (GMP) з виробництв готових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лiкарських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75CF353C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3) Впровадження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iнновацiйних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є вагомим вкладом в розвиток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розробки та виробництва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лiкарських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293A3A48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4) Освоєння нових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збуту,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експортного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потенцiалу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Прiоритетнiсть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актуальнiсть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цього напрямку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стратегiчного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розвитку пояснюється насиченням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вiтчизняного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фармацевтичного ринку та загостренням конкурентної боротьби.</w:t>
      </w:r>
    </w:p>
    <w:p w14:paraId="39DA9CD2" w14:textId="77777777" w:rsidR="00FC6662" w:rsidRPr="00055A19" w:rsidRDefault="00FC6662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2BEF4C4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9.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придбання або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вiдчуження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останнi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п'ять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, а також якщо плануються будь-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або придбання, то також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надати їх опис, включаючи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суттєвi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умови придбання або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їх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42C0B9D3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Для подальшої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стратегiї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розвитку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на 2024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запланованi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пiдприємством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капiтальнi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будуть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спрямованi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на: придбання та встановлення виробничого i лабораторного обладнання,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реконструкцiю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модернiзацiю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замiну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дооснащення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рiзних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виробничих i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вентиляцiйних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систем, перенесення кабельних мереж, придбання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автомобiлiв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     </w:t>
      </w:r>
    </w:p>
    <w:p w14:paraId="76A5BD73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вищезазначенi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цiлi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бюджетом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на 2024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орiєнтовно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передбачено 70,5 млн. грн.</w:t>
      </w:r>
    </w:p>
    <w:p w14:paraId="4F61D0E6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За 9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мсяцiв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2024 року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капiтальне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будiвництво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придбання (виготовлення) основних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придбання (створення)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капiтальнi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пiдприємством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було витрачено 72,4 млн. грн. або 4,8%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чистого доходу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7697E596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Загалом 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було введено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експлуатацiю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на суму 60,5 млн. грн.</w:t>
      </w:r>
    </w:p>
    <w:p w14:paraId="3C4FAA1F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 розвиток були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зробленi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 рахунок власних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Основними напрямками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iнвестування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були:</w:t>
      </w:r>
    </w:p>
    <w:p w14:paraId="573E4033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-</w:t>
      </w:r>
      <w:r w:rsidRPr="00055A19">
        <w:rPr>
          <w:rFonts w:ascii="Times New Roman CYR" w:hAnsi="Times New Roman CYR" w:cs="Times New Roman CYR"/>
          <w:sz w:val="24"/>
          <w:szCs w:val="24"/>
        </w:rPr>
        <w:tab/>
        <w:t xml:space="preserve">придбання основних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;</w:t>
      </w:r>
    </w:p>
    <w:p w14:paraId="0A31D5AC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-</w:t>
      </w:r>
      <w:r w:rsidRPr="00055A19"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технiчне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переоснащення виробничих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дiльниць</w:t>
      </w:r>
      <w:proofErr w:type="spellEnd"/>
    </w:p>
    <w:p w14:paraId="34DEE59A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-</w:t>
      </w:r>
      <w:r w:rsidRPr="00055A19">
        <w:rPr>
          <w:rFonts w:ascii="Times New Roman CYR" w:hAnsi="Times New Roman CYR" w:cs="Times New Roman CYR"/>
          <w:sz w:val="24"/>
          <w:szCs w:val="24"/>
        </w:rPr>
        <w:tab/>
        <w:t xml:space="preserve">переоснащення кабельних мереж i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т.д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661B0EAC" w14:textId="77777777" w:rsidR="00FC6662" w:rsidRPr="00055A19" w:rsidRDefault="00FC6662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70ED27F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10.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засоби особи, включаючи об'єкти оренди та будь-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правочини особи щодо них;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виробничi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використання обладнання,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утримання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того,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описати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екологiчнi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питання, що можуть позначитися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використаннi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плани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капiтального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розширення або удосконалення основних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характер та причини таких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суми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видаткiв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у тому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вже зроблених, методи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прогнознi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дати початку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очiкуване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зростання виробничих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потужностей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її завершення.</w:t>
      </w:r>
    </w:p>
    <w:p w14:paraId="37AB19E1" w14:textId="77777777" w:rsidR="004C0186" w:rsidRPr="00055A19" w:rsidRDefault="00E27C44" w:rsidP="00055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засоби знаходяться за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мiсцезнаходженням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Товариства: 03134, Україна, м. Київ, вул. Миру, 17. </w:t>
      </w:r>
      <w:r w:rsidR="004C0186" w:rsidRPr="00055A19">
        <w:rPr>
          <w:rFonts w:ascii="Times New Roman" w:hAnsi="Times New Roman" w:cs="Times New Roman"/>
          <w:sz w:val="24"/>
          <w:szCs w:val="24"/>
        </w:rPr>
        <w:t xml:space="preserve">Протягом дев’яти місяців, що закінчилися 30 вересня 2024 року, Товариство придбало основних засобів  та нематеріальних активів на суму 65 529 тис. грн (дев’ять місяців, що закінчилися 30 вересня 2023 року: 41 473  тис. грн). </w:t>
      </w:r>
    </w:p>
    <w:p w14:paraId="074E06A7" w14:textId="77777777" w:rsidR="002B0F4A" w:rsidRPr="00055A19" w:rsidRDefault="004C0186" w:rsidP="00055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A19">
        <w:rPr>
          <w:rFonts w:ascii="Times New Roman" w:hAnsi="Times New Roman" w:cs="Times New Roman"/>
          <w:sz w:val="24"/>
          <w:szCs w:val="24"/>
        </w:rPr>
        <w:t>В третьому кварталі 2024 року Товариство придбало на умовах договору фінансового лізингу транспортні засоби загальною вартістю 8 101 тис. грн.</w:t>
      </w:r>
    </w:p>
    <w:p w14:paraId="1076A36D" w14:textId="58A68520" w:rsidR="004C0186" w:rsidRPr="00055A19" w:rsidRDefault="004C0186" w:rsidP="00055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A19">
        <w:rPr>
          <w:rFonts w:ascii="Times New Roman" w:hAnsi="Times New Roman" w:cs="Times New Roman"/>
          <w:sz w:val="24"/>
          <w:szCs w:val="24"/>
        </w:rPr>
        <w:t xml:space="preserve">Вибуло балансової вартості основних засобів та </w:t>
      </w:r>
      <w:proofErr w:type="spellStart"/>
      <w:r w:rsidRPr="00055A19">
        <w:rPr>
          <w:rFonts w:ascii="Times New Roman" w:hAnsi="Times New Roman" w:cs="Times New Roman"/>
          <w:sz w:val="24"/>
          <w:szCs w:val="24"/>
        </w:rPr>
        <w:t>нематеріальниї</w:t>
      </w:r>
      <w:proofErr w:type="spellEnd"/>
      <w:r w:rsidRPr="00055A19">
        <w:rPr>
          <w:rFonts w:ascii="Times New Roman" w:hAnsi="Times New Roman" w:cs="Times New Roman"/>
          <w:sz w:val="24"/>
          <w:szCs w:val="24"/>
        </w:rPr>
        <w:t xml:space="preserve"> активів за дев’ять місяців, що закінчилися 30 вересня 2024 року, на суму 111 тис. грн (дев’ять місяців, що закінчилися 30 вересня 2023 року: 15 тис. грн).</w:t>
      </w:r>
    </w:p>
    <w:p w14:paraId="0B5581EF" w14:textId="663C5D9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Виробничi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знаходяться за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мiсцезнаходженням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Товариства.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засоби утримуються за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власнi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кошти Товариства.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Екологiчнi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питання, що можуть позначитися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використаннi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Плани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капiтального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розширення або удосконалення основних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:</w:t>
      </w:r>
    </w:p>
    <w:p w14:paraId="6A666F76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 - подальша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реконструкцiя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виробничих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дiльниць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;</w:t>
      </w:r>
    </w:p>
    <w:p w14:paraId="76CEE033" w14:textId="6A14F231" w:rsidR="00FC6662" w:rsidRPr="00055A19" w:rsidRDefault="002B0F4A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E27C44" w:rsidRPr="00055A19">
        <w:rPr>
          <w:rFonts w:ascii="Times New Roman CYR" w:hAnsi="Times New Roman CYR" w:cs="Times New Roman CYR"/>
          <w:sz w:val="24"/>
          <w:szCs w:val="24"/>
        </w:rPr>
        <w:t xml:space="preserve">- придбання та виготовлення основних </w:t>
      </w:r>
      <w:proofErr w:type="spellStart"/>
      <w:r w:rsidR="00E27C44" w:rsidRPr="00055A19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="00E27C44" w:rsidRPr="00055A19">
        <w:rPr>
          <w:rFonts w:ascii="Times New Roman CYR" w:hAnsi="Times New Roman CYR" w:cs="Times New Roman CYR"/>
          <w:sz w:val="24"/>
          <w:szCs w:val="24"/>
        </w:rPr>
        <w:t xml:space="preserve"> для виробничих </w:t>
      </w:r>
      <w:proofErr w:type="spellStart"/>
      <w:r w:rsidR="00E27C44" w:rsidRPr="00055A19">
        <w:rPr>
          <w:rFonts w:ascii="Times New Roman CYR" w:hAnsi="Times New Roman CYR" w:cs="Times New Roman CYR"/>
          <w:sz w:val="24"/>
          <w:szCs w:val="24"/>
        </w:rPr>
        <w:t>дiльниць</w:t>
      </w:r>
      <w:proofErr w:type="spellEnd"/>
      <w:r w:rsidR="00E27C44" w:rsidRPr="00055A19">
        <w:rPr>
          <w:rFonts w:ascii="Times New Roman CYR" w:hAnsi="Times New Roman CYR" w:cs="Times New Roman CYR"/>
          <w:sz w:val="24"/>
          <w:szCs w:val="24"/>
        </w:rPr>
        <w:t>;</w:t>
      </w:r>
    </w:p>
    <w:p w14:paraId="797BF8AA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подальшi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роботи з розвитку,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адмiнiстрування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технiчного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обслуговування та ремонту системи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iнформацiйних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пiдприємствi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23FF8094" w14:textId="77777777" w:rsidR="00FC6662" w:rsidRPr="00055A19" w:rsidRDefault="00FC6662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BF47A1F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11. Проблеми,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особи, в тому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законодавчих або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обмежень.</w:t>
      </w:r>
    </w:p>
    <w:p w14:paraId="0CFDAE43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Закони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нормативнi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акти,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операцiйне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середовище в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можуть швидко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змiнюватися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7B130040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Подальший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економiчний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розвиток залежить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спектру ефективних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вживаються українським урядом, а також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подiй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перебувають поза зоною впливу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22FD9522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Враховуючи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економiчне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полiтичне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становище України, проведення АТО,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падiння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дiлової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активностi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 галузях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економiки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зокрема, зростання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цiн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енергоносiї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матерiали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нестабiльнiсть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нацiональної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валюти, можуть виникнути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об'єктивнi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обставини, що вплинуть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здатнiсть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lastRenderedPageBreak/>
        <w:t>здiйснювати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господарську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проводити розрахунки з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робiтниками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постачальниками, бюджетом тощо. Майбутнє спрямування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 боку українського уряду може мати вплив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реалiзацiю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а також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здатнiсть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виконувати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грошовi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зобов'язання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строками погашення ПАТ НВЦ "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Борщагiвський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ХФЗ"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суттєвi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iноземними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контрагентами, як покупцями готової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, так i постачальниками обладнання i сировини.</w:t>
      </w:r>
    </w:p>
    <w:p w14:paraId="754EF2D2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Таким чином,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пiдприємство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є чутливим до впливу валютного ризику, особливо в умовах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нестабiльностi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курсу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нацiональної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валюти, що значно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збiльшує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потенцiйнi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втрати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курсових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рiзниць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70C64857" w14:textId="77777777" w:rsidR="00FC6662" w:rsidRPr="00055A19" w:rsidRDefault="00FC6662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1D21ABC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12.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укладених, але ще не виконаних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(загальний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пiдсумок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)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прибутки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виконання цих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).</w:t>
      </w:r>
    </w:p>
    <w:p w14:paraId="74584BC7" w14:textId="2C3DC734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Станом на 30 вересня 2024 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контрактнi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зобов'язання Товариства щодо придбання основних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складали </w:t>
      </w:r>
      <w:r w:rsidR="00B919D0" w:rsidRPr="00055A19">
        <w:rPr>
          <w:rFonts w:ascii="Times New Roman CYR" w:hAnsi="Times New Roman CYR" w:cs="Times New Roman CYR"/>
          <w:sz w:val="24"/>
          <w:szCs w:val="24"/>
        </w:rPr>
        <w:t>13245</w:t>
      </w:r>
      <w:r w:rsidRPr="00055A19">
        <w:rPr>
          <w:rFonts w:ascii="Times New Roman CYR" w:hAnsi="Times New Roman CYR" w:cs="Times New Roman CYR"/>
          <w:sz w:val="24"/>
          <w:szCs w:val="24"/>
        </w:rPr>
        <w:t xml:space="preserve"> тис. грн</w:t>
      </w:r>
    </w:p>
    <w:p w14:paraId="7A5FF4F2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прибутки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виконання цих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) -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4E44EF29" w14:textId="77777777" w:rsidR="00FC6662" w:rsidRPr="00055A19" w:rsidRDefault="00FC6662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597CC7D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13.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Середньооблiкова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штатних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особи, середня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позаштатних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працюють за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сумiсництвом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працюють на умовах неповного робочого часу (дня, тижня),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того, зазначається про факти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його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або зменшення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попереднього року.</w:t>
      </w:r>
    </w:p>
    <w:p w14:paraId="6B8CB405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Середня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штатних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- 651, середня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позаштатних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працюють за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сумiсництвом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- 3,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працюють на умовах неповного робочого часу (дня, тижня) - 15.</w:t>
      </w:r>
    </w:p>
    <w:p w14:paraId="0FE31124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- 239005 тис. грн., фонд оплати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збiльшився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попереднього року.</w:t>
      </w:r>
    </w:p>
    <w:p w14:paraId="15154628" w14:textId="77777777" w:rsidR="00FC6662" w:rsidRPr="00055A19" w:rsidRDefault="00FC6662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C312939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14. Будь-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третiх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що мали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умови та результати цих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>.</w:t>
      </w:r>
    </w:p>
    <w:p w14:paraId="35074E7E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>Будь-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третiх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не надходили.</w:t>
      </w:r>
    </w:p>
    <w:p w14:paraId="745B0911" w14:textId="77777777" w:rsidR="00FC6662" w:rsidRPr="00055A19" w:rsidRDefault="00FC6662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377D473" w14:textId="77777777" w:rsidR="00FC6662" w:rsidRPr="00055A19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15.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Iнша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яка може бути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iстотною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стейкхолдерами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особи.</w:t>
      </w:r>
    </w:p>
    <w:p w14:paraId="071E229D" w14:textId="77777777" w:rsidR="00FC6662" w:rsidRDefault="00E27C44" w:rsidP="00055A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55A19">
        <w:rPr>
          <w:rFonts w:ascii="Times New Roman CYR" w:hAnsi="Times New Roman CYR" w:cs="Times New Roman CYR"/>
          <w:sz w:val="24"/>
          <w:szCs w:val="24"/>
        </w:rPr>
        <w:t xml:space="preserve">З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iншою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iнформацiєю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, яка може бути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iстотною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Товариства,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стейкхолдери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можуть ознайомитись на </w:t>
      </w:r>
      <w:proofErr w:type="spellStart"/>
      <w:r w:rsidRPr="00055A19">
        <w:rPr>
          <w:rFonts w:ascii="Times New Roman CYR" w:hAnsi="Times New Roman CYR" w:cs="Times New Roman CYR"/>
          <w:sz w:val="24"/>
          <w:szCs w:val="24"/>
        </w:rPr>
        <w:t>сайтi</w:t>
      </w:r>
      <w:proofErr w:type="spellEnd"/>
      <w:r w:rsidRPr="00055A19">
        <w:rPr>
          <w:rFonts w:ascii="Times New Roman CYR" w:hAnsi="Times New Roman CYR" w:cs="Times New Roman CYR"/>
          <w:sz w:val="24"/>
          <w:szCs w:val="24"/>
        </w:rPr>
        <w:t xml:space="preserve"> Товариства за посиланням http://bcpp.com.ua/shareholders.</w:t>
      </w:r>
    </w:p>
    <w:p w14:paraId="2A22848E" w14:textId="7918F78E" w:rsidR="00CB55FC" w:rsidRDefault="00CB55FC">
      <w:pPr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14:paraId="0943F2D0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щодо отриманих особою ліцензій</w:t>
      </w:r>
    </w:p>
    <w:tbl>
      <w:tblPr>
        <w:tblW w:w="1093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"/>
        <w:gridCol w:w="3703"/>
        <w:gridCol w:w="1500"/>
        <w:gridCol w:w="1065"/>
        <w:gridCol w:w="3000"/>
        <w:gridCol w:w="1200"/>
      </w:tblGrid>
      <w:tr w:rsidR="00FC6662" w14:paraId="5AF12047" w14:textId="77777777" w:rsidTr="00BC64AA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6C40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ABEF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діяльності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D110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3FB5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ED7E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 державної влади, що видав ліцензію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9CBC5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закінчення строку дії ліцензії (за наявності)</w:t>
            </w:r>
          </w:p>
        </w:tc>
      </w:tr>
      <w:tr w:rsidR="00FC6662" w14:paraId="761D3DBA" w14:textId="77777777" w:rsidTr="00BC64AA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02E1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6051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D6B2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50C1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E96E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807BE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</w:tr>
      <w:tr w:rsidR="00FC6662" w14:paraId="6AF07A8B" w14:textId="77777777" w:rsidTr="00BC64AA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045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1CD3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Виробництво фармацевтичних </w:t>
            </w:r>
            <w:proofErr w:type="spellStart"/>
            <w:r>
              <w:rPr>
                <w:rFonts w:ascii="Times New Roman CYR" w:hAnsi="Times New Roman CYR" w:cs="Times New Roman CYR"/>
              </w:rPr>
              <w:t>препаратiв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матерiалiв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36C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598003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19B8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04.01.2012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7F9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служба України з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F610D5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C6662" w14:paraId="27516098" w14:textId="77777777" w:rsidTr="00BC64AA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050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CCE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Оптова, </w:t>
            </w:r>
            <w:proofErr w:type="spellStart"/>
            <w:r>
              <w:rPr>
                <w:rFonts w:ascii="Times New Roman CYR" w:hAnsi="Times New Roman CYR" w:cs="Times New Roman CYR"/>
              </w:rPr>
              <w:t>роздрiбна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засобами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1D4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АЕ 295113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8FDF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13.11.2014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F4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служба України з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9A663E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C6662" w14:paraId="2BAD7654" w14:textId="77777777" w:rsidTr="00BC64AA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37BA9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F76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Придбання, </w:t>
            </w:r>
            <w:proofErr w:type="spellStart"/>
            <w:r>
              <w:rPr>
                <w:rFonts w:ascii="Times New Roman CYR" w:hAnsi="Times New Roman CYR" w:cs="Times New Roman CYR"/>
              </w:rPr>
              <w:t>зберiгання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реалiзацiя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вiдпуск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), знищення, використання </w:t>
            </w:r>
            <w:proofErr w:type="spellStart"/>
            <w:r>
              <w:rPr>
                <w:rFonts w:ascii="Times New Roman CYR" w:hAnsi="Times New Roman CYR" w:cs="Times New Roman CYR"/>
              </w:rPr>
              <w:t>прекурсорiв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(списку 1 </w:t>
            </w:r>
            <w:proofErr w:type="spellStart"/>
            <w:r>
              <w:rPr>
                <w:rFonts w:ascii="Times New Roman CYR" w:hAnsi="Times New Roman CYR" w:cs="Times New Roman CYR"/>
              </w:rPr>
              <w:t>таблицi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IV та списку 2 </w:t>
            </w:r>
            <w:proofErr w:type="spellStart"/>
            <w:r>
              <w:rPr>
                <w:rFonts w:ascii="Times New Roman CYR" w:hAnsi="Times New Roman CYR" w:cs="Times New Roman CYR"/>
              </w:rPr>
              <w:t>таблицi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IV )"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наркотичних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психотропних речовин i </w:t>
            </w:r>
            <w:proofErr w:type="spellStart"/>
            <w:r>
              <w:rPr>
                <w:rFonts w:ascii="Times New Roman CYR" w:hAnsi="Times New Roman CYR" w:cs="Times New Roman CYR"/>
              </w:rPr>
              <w:t>прекурсорiв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2CA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б/н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EAA0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13.08.2020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F629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служба України з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контролю за наркотиками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99430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13.08.2025</w:t>
            </w:r>
          </w:p>
        </w:tc>
      </w:tr>
      <w:tr w:rsidR="00FC6662" w14:paraId="19B59229" w14:textId="77777777" w:rsidTr="00BC64AA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481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65599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Виробництво ветеринарних </w:t>
            </w:r>
            <w:proofErr w:type="spellStart"/>
            <w:r>
              <w:rPr>
                <w:rFonts w:ascii="Times New Roman CYR" w:hAnsi="Times New Roman CYR" w:cs="Times New Roman CYR"/>
              </w:rPr>
              <w:t>медикаментiв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препаратiв,оптова,роздрiбна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ветеринарними медикаментами i препаратами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828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583999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18A59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23.01.2012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8F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 ветеринарна та </w:t>
            </w:r>
            <w:proofErr w:type="spellStart"/>
            <w:r>
              <w:rPr>
                <w:rFonts w:ascii="Times New Roman CYR" w:hAnsi="Times New Roman CYR" w:cs="Times New Roman CYR"/>
              </w:rPr>
              <w:t>фiтосанiтарна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служба України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885F1C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C6662" w14:paraId="4A09346C" w14:textId="77777777" w:rsidTr="00BC64AA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F25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16CA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Медична практика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1872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АЕ571625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9AA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20.11.2014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88D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Мiнiстерство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охорони здоров'я України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B6F607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C6662" w14:paraId="3B0E7707" w14:textId="77777777" w:rsidTr="00BC64AA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F0D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F7D1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Iмпорт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665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АЕ192412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55F2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11.03.2013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1708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служба України з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36DECF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C6662" w14:paraId="77BEBC79" w14:textId="77777777" w:rsidTr="00BC64AA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1A7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0A2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Фiзико-хiмiчна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мiкробiологiчна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лабораторiя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50EE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96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89FD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20.01.2012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997C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служба України з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5FC969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6B516D68" w14:textId="63374622" w:rsidR="00CB55FC" w:rsidRDefault="00CB5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A8A7AA4" w14:textId="77777777" w:rsidR="00CB55FC" w:rsidRDefault="00CB55FC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br w:type="page"/>
      </w:r>
    </w:p>
    <w:p w14:paraId="2DDF2DF0" w14:textId="48260191" w:rsidR="00FC6662" w:rsidRPr="00BC64AA" w:rsidRDefault="00E27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основні засоби (за залишковою вартістю)</w:t>
      </w:r>
      <w:r w:rsidR="00BC64AA" w:rsidRPr="00BC64AA">
        <w:rPr>
          <w:rFonts w:ascii="Times New Roman CYR" w:hAnsi="Times New Roman CYR" w:cs="Times New Roman CYR"/>
          <w:b/>
          <w:bCs/>
          <w:sz w:val="24"/>
          <w:szCs w:val="24"/>
          <w:lang w:val="ru-RU"/>
        </w:rPr>
        <w:t xml:space="preserve">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8"/>
        <w:gridCol w:w="1260"/>
        <w:gridCol w:w="1211"/>
        <w:gridCol w:w="1260"/>
        <w:gridCol w:w="1139"/>
        <w:gridCol w:w="1260"/>
        <w:gridCol w:w="1208"/>
        <w:gridCol w:w="12"/>
      </w:tblGrid>
      <w:tr w:rsidR="00FC6662" w14:paraId="37CCB2FB" w14:textId="77777777" w:rsidTr="00BC64AA">
        <w:trPr>
          <w:gridAfter w:val="1"/>
          <w:wAfter w:w="12" w:type="dxa"/>
          <w:trHeight w:val="200"/>
        </w:trPr>
        <w:tc>
          <w:tcPr>
            <w:tcW w:w="305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20D1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основних засобів</w:t>
            </w:r>
          </w:p>
        </w:tc>
        <w:tc>
          <w:tcPr>
            <w:tcW w:w="2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D922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Власні основні засоби, тис. грн</w:t>
            </w:r>
          </w:p>
        </w:tc>
        <w:tc>
          <w:tcPr>
            <w:tcW w:w="2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C0D9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Орендовані основні засоби, тис. грн</w:t>
            </w:r>
          </w:p>
        </w:tc>
        <w:tc>
          <w:tcPr>
            <w:tcW w:w="2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719779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засоби, усього, тис. грн</w:t>
            </w:r>
          </w:p>
        </w:tc>
      </w:tr>
      <w:tr w:rsidR="00FC6662" w:rsidRPr="00CB55FC" w14:paraId="3E90E75C" w14:textId="77777777" w:rsidTr="00BC64AA">
        <w:trPr>
          <w:gridAfter w:val="1"/>
          <w:wAfter w:w="12" w:type="dxa"/>
          <w:trHeight w:val="200"/>
        </w:trPr>
        <w:tc>
          <w:tcPr>
            <w:tcW w:w="305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B1F99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8174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30CA9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99CDE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3B297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6F856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C1DEE6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на кінець періоду</w:t>
            </w:r>
          </w:p>
        </w:tc>
      </w:tr>
      <w:tr w:rsidR="00FC6662" w:rsidRPr="00CB55FC" w14:paraId="77687A35" w14:textId="77777777" w:rsidTr="00BC64AA">
        <w:trPr>
          <w:gridAfter w:val="1"/>
          <w:wAfter w:w="12" w:type="dxa"/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88B0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AD79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1 380 486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CED2F" w14:textId="427D54FF" w:rsidR="00FC6662" w:rsidRPr="00CB55FC" w:rsidRDefault="00E27C44" w:rsidP="0055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1</w:t>
            </w:r>
            <w:r w:rsidR="00B919D0" w:rsidRPr="00CB55FC">
              <w:rPr>
                <w:rFonts w:ascii="Times New Roman CYR" w:hAnsi="Times New Roman CYR" w:cs="Times New Roman CYR"/>
              </w:rPr>
              <w:t> </w:t>
            </w:r>
            <w:r w:rsidRPr="00CB55FC">
              <w:rPr>
                <w:rFonts w:ascii="Times New Roman CYR" w:hAnsi="Times New Roman CYR" w:cs="Times New Roman CYR"/>
              </w:rPr>
              <w:t>3</w:t>
            </w:r>
            <w:r w:rsidR="00B919D0" w:rsidRPr="00CB55FC">
              <w:rPr>
                <w:rFonts w:ascii="Times New Roman CYR" w:hAnsi="Times New Roman CYR" w:cs="Times New Roman CYR"/>
              </w:rPr>
              <w:t>38 826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3E231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93B89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7 426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DA00E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1 380 486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921625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1 346 252</w:t>
            </w:r>
          </w:p>
        </w:tc>
      </w:tr>
      <w:tr w:rsidR="00FC6662" w:rsidRPr="00CB55FC" w14:paraId="448FBD1E" w14:textId="77777777" w:rsidTr="00BC64AA">
        <w:trPr>
          <w:gridAfter w:val="1"/>
          <w:wAfter w:w="12" w:type="dxa"/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52B4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93AF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945 197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74A20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937 945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3A356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E01CB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7A3A3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945 197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CD645A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937 945</w:t>
            </w:r>
          </w:p>
        </w:tc>
      </w:tr>
      <w:tr w:rsidR="00FC6662" w:rsidRPr="00CB55FC" w14:paraId="3EE83A72" w14:textId="77777777" w:rsidTr="00BC64AA">
        <w:trPr>
          <w:gridAfter w:val="1"/>
          <w:wAfter w:w="12" w:type="dxa"/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6FB5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62C5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270 158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F4A91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218 769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C4B0F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842A3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125EF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270 158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08F693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218 769</w:t>
            </w:r>
          </w:p>
        </w:tc>
      </w:tr>
      <w:tr w:rsidR="00FC6662" w:rsidRPr="00CB55FC" w14:paraId="2331AA44" w14:textId="77777777" w:rsidTr="00BC64AA">
        <w:trPr>
          <w:gridAfter w:val="1"/>
          <w:wAfter w:w="12" w:type="dxa"/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7077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6818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12 762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4DAE9" w14:textId="77777777" w:rsidR="00FC6662" w:rsidRPr="00CB55FC" w:rsidRDefault="00A85690" w:rsidP="00A8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11206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EEA93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9B948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7 426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5DB9F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12 762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371BC7" w14:textId="77777777" w:rsidR="00FC6662" w:rsidRPr="00CB55FC" w:rsidRDefault="00E27C44" w:rsidP="0055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18632</w:t>
            </w:r>
          </w:p>
        </w:tc>
      </w:tr>
      <w:tr w:rsidR="00FC6662" w:rsidRPr="00CB55FC" w14:paraId="1FC43AE2" w14:textId="77777777" w:rsidTr="00BC64AA">
        <w:trPr>
          <w:gridAfter w:val="1"/>
          <w:wAfter w:w="12" w:type="dxa"/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DA7A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681C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151 782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E42CE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151 782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5AEA1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92F80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0399C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151 782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CEF61A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151 782</w:t>
            </w:r>
          </w:p>
        </w:tc>
      </w:tr>
      <w:tr w:rsidR="00FC6662" w:rsidRPr="00CB55FC" w14:paraId="608A9783" w14:textId="77777777" w:rsidTr="00BC64AA">
        <w:trPr>
          <w:gridAfter w:val="1"/>
          <w:wAfter w:w="12" w:type="dxa"/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3B84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092B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587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A69E7" w14:textId="77777777" w:rsidR="00FC6662" w:rsidRPr="00CB55FC" w:rsidRDefault="00A85690" w:rsidP="00A85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19124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D8587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8783C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9A116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587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35BC9C" w14:textId="77777777" w:rsidR="00FC6662" w:rsidRPr="00CB55FC" w:rsidRDefault="00A85690" w:rsidP="0055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19124</w:t>
            </w:r>
          </w:p>
          <w:p w14:paraId="1A916A91" w14:textId="77777777" w:rsidR="00A85690" w:rsidRPr="00CB55FC" w:rsidRDefault="00A85690" w:rsidP="0055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57B1F180" w14:textId="77777777" w:rsidR="00554BE0" w:rsidRPr="00CB55FC" w:rsidRDefault="00554BE0" w:rsidP="0055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C6662" w:rsidRPr="00CB55FC" w14:paraId="383F8A2B" w14:textId="77777777" w:rsidTr="00BC64AA">
        <w:trPr>
          <w:gridAfter w:val="1"/>
          <w:wAfter w:w="12" w:type="dxa"/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3588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Невиробничого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8080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8342F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6A16C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BAED5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F124D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ADBD2F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</w:tr>
      <w:tr w:rsidR="00FC6662" w:rsidRPr="00CB55FC" w14:paraId="0EA23F7F" w14:textId="77777777" w:rsidTr="00BC64AA">
        <w:trPr>
          <w:gridAfter w:val="1"/>
          <w:wAfter w:w="12" w:type="dxa"/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4622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60D1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0271B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92028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38735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6CCA6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85F8AF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</w:tr>
      <w:tr w:rsidR="00FC6662" w:rsidRPr="00CB55FC" w14:paraId="6285A2BB" w14:textId="77777777" w:rsidTr="00BC64AA">
        <w:trPr>
          <w:gridAfter w:val="1"/>
          <w:wAfter w:w="12" w:type="dxa"/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AB08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2BFC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4DB04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2E8AA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4B526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64228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F4B9B8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</w:tr>
      <w:tr w:rsidR="00FC6662" w:rsidRPr="00CB55FC" w14:paraId="6DB13B42" w14:textId="77777777" w:rsidTr="00BC64AA">
        <w:trPr>
          <w:gridAfter w:val="1"/>
          <w:wAfter w:w="12" w:type="dxa"/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0C67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97CB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37EDB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67EE3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E9072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85847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BF872B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</w:tr>
      <w:tr w:rsidR="00FC6662" w:rsidRPr="00CB55FC" w14:paraId="53E69C54" w14:textId="77777777" w:rsidTr="00BC64AA">
        <w:trPr>
          <w:gridAfter w:val="1"/>
          <w:wAfter w:w="12" w:type="dxa"/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B4D7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86749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F422C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A65FB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7196A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6B911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56BEE9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</w:tr>
      <w:tr w:rsidR="00FC6662" w:rsidRPr="00CB55FC" w14:paraId="369EA8D1" w14:textId="77777777" w:rsidTr="00BC64AA">
        <w:trPr>
          <w:gridAfter w:val="1"/>
          <w:wAfter w:w="12" w:type="dxa"/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8186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інвестиційна нерухомість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C479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3131F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146A2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F7B6E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F2F36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A2F505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</w:tr>
      <w:tr w:rsidR="00FC6662" w:rsidRPr="00CB55FC" w14:paraId="4411F5C2" w14:textId="77777777" w:rsidTr="00BC64AA">
        <w:trPr>
          <w:gridAfter w:val="1"/>
          <w:wAfter w:w="12" w:type="dxa"/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F384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E301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8B75B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EEA56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0BBA2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B203F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810E63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</w:tr>
      <w:tr w:rsidR="00FC6662" w:rsidRPr="00CB55FC" w14:paraId="62FBE413" w14:textId="77777777" w:rsidTr="00BC64AA">
        <w:trPr>
          <w:gridAfter w:val="1"/>
          <w:wAfter w:w="12" w:type="dxa"/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DEED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F8B8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1 380 486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7F449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1 338 826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377DF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AA0D2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7 426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866F8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1 380 486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82E0EE" w14:textId="77777777" w:rsidR="00FC6662" w:rsidRPr="00CB55FC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CB55FC">
              <w:rPr>
                <w:rFonts w:ascii="Times New Roman CYR" w:hAnsi="Times New Roman CYR" w:cs="Times New Roman CYR"/>
              </w:rPr>
              <w:t>1 346 252</w:t>
            </w:r>
          </w:p>
        </w:tc>
      </w:tr>
      <w:tr w:rsidR="00FC6662" w14:paraId="3675831B" w14:textId="77777777" w:rsidTr="00BC64AA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9900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73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C768A9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Термiни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умови користування основними засобами (за основними групами) - </w:t>
            </w:r>
            <w:proofErr w:type="spellStart"/>
            <w:r>
              <w:rPr>
                <w:rFonts w:ascii="Times New Roman CYR" w:hAnsi="Times New Roman CYR" w:cs="Times New Roman CYR"/>
              </w:rPr>
              <w:t>допустимi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строки корисного використання 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</w:p>
          <w:p w14:paraId="4D06E8A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Будiвлi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споруди</w:t>
            </w:r>
            <w:r>
              <w:rPr>
                <w:rFonts w:ascii="Times New Roman CYR" w:hAnsi="Times New Roman CYR" w:cs="Times New Roman CYR"/>
              </w:rPr>
              <w:tab/>
              <w:t xml:space="preserve">85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</w:p>
          <w:p w14:paraId="1D17E63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Транспортнi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засоби, машини та обладнання</w:t>
            </w:r>
            <w:r>
              <w:rPr>
                <w:rFonts w:ascii="Times New Roman CYR" w:hAnsi="Times New Roman CYR" w:cs="Times New Roman CYR"/>
              </w:rPr>
              <w:tab/>
              <w:t xml:space="preserve">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</w:p>
          <w:p w14:paraId="38E6E75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Комп'ютерна </w:t>
            </w:r>
            <w:proofErr w:type="spellStart"/>
            <w:r>
              <w:rPr>
                <w:rFonts w:ascii="Times New Roman CYR" w:hAnsi="Times New Roman CYR" w:cs="Times New Roman CYR"/>
              </w:rPr>
              <w:t>технiка</w:t>
            </w:r>
            <w:proofErr w:type="spellEnd"/>
            <w:r>
              <w:rPr>
                <w:rFonts w:ascii="Times New Roman CYR" w:hAnsi="Times New Roman CYR" w:cs="Times New Roman CYR"/>
              </w:rPr>
              <w:tab/>
              <w:t>2 роки</w:t>
            </w:r>
          </w:p>
          <w:p w14:paraId="0D4643B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засоби</w:t>
            </w:r>
            <w:r>
              <w:rPr>
                <w:rFonts w:ascii="Times New Roman CYR" w:hAnsi="Times New Roman CYR" w:cs="Times New Roman CYR"/>
              </w:rPr>
              <w:tab/>
              <w:t xml:space="preserve">4-12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</w:p>
          <w:p w14:paraId="5BA052B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Первiсна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станом на 30.09.2024 р.:  2579574  тис. грн. </w:t>
            </w:r>
          </w:p>
          <w:p w14:paraId="3091254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Ступiнь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зносу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характеризується </w:t>
            </w:r>
            <w:proofErr w:type="spellStart"/>
            <w:r>
              <w:rPr>
                <w:rFonts w:ascii="Times New Roman CYR" w:hAnsi="Times New Roman CYR" w:cs="Times New Roman CYR"/>
              </w:rPr>
              <w:t>коефiцiєнтом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зносу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який розраховується шляхом </w:t>
            </w:r>
            <w:proofErr w:type="spellStart"/>
            <w:r>
              <w:rPr>
                <w:rFonts w:ascii="Times New Roman CYR" w:hAnsi="Times New Roman CYR" w:cs="Times New Roman CYR"/>
              </w:rPr>
              <w:t>вiдношення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накопленого зносу до </w:t>
            </w:r>
            <w:proofErr w:type="spellStart"/>
            <w:r>
              <w:rPr>
                <w:rFonts w:ascii="Times New Roman CYR" w:hAnsi="Times New Roman CYR" w:cs="Times New Roman CYR"/>
              </w:rPr>
              <w:t>первiсної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На початок 2024 року складав 0,45 та за дев'ять </w:t>
            </w:r>
            <w:proofErr w:type="spellStart"/>
            <w:r>
              <w:rPr>
                <w:rFonts w:ascii="Times New Roman CYR" w:hAnsi="Times New Roman CYR" w:cs="Times New Roman CYR"/>
              </w:rPr>
              <w:t>мiсяцiв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</w:t>
            </w:r>
            <w:proofErr w:type="spellStart"/>
            <w:r>
              <w:rPr>
                <w:rFonts w:ascii="Times New Roman CYR" w:hAnsi="Times New Roman CYR" w:cs="Times New Roman CYR"/>
              </w:rPr>
              <w:t>закiнчилися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30 вересня 2024 року - 0,48. </w:t>
            </w:r>
          </w:p>
          <w:p w14:paraId="4B4FA12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Сума нарахованого зносу станом на 30.09.2024 р.: 1233322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48E6543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засоби, що знаходяться на </w:t>
            </w:r>
            <w:proofErr w:type="spellStart"/>
            <w:r>
              <w:rPr>
                <w:rFonts w:ascii="Times New Roman CYR" w:hAnsi="Times New Roman CYR" w:cs="Times New Roman CYR"/>
              </w:rPr>
              <w:t>балансi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залишковою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станом на 30.09.2024 р.: 1346252 тис. грн. використовуються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повному </w:t>
            </w:r>
            <w:proofErr w:type="spellStart"/>
            <w:r>
              <w:rPr>
                <w:rFonts w:ascii="Times New Roman CYR" w:hAnsi="Times New Roman CYR" w:cs="Times New Roman CYR"/>
              </w:rPr>
              <w:t>обсязi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  <w:p w14:paraId="473AD12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ПАТ НВЦ "</w:t>
            </w:r>
            <w:proofErr w:type="spellStart"/>
            <w:r>
              <w:rPr>
                <w:rFonts w:ascii="Times New Roman CYR" w:hAnsi="Times New Roman CYR" w:cs="Times New Roman CYR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ХФЗ" станом на 30 вересня 2024 року,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зобов'язань за кредитами </w:t>
            </w:r>
            <w:proofErr w:type="spellStart"/>
            <w:r>
              <w:rPr>
                <w:rFonts w:ascii="Times New Roman CYR" w:hAnsi="Times New Roman CYR" w:cs="Times New Roman CYR"/>
              </w:rPr>
              <w:t>пiд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заставу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</w:tc>
      </w:tr>
    </w:tbl>
    <w:p w14:paraId="6BEB97A8" w14:textId="56A4FC22" w:rsidR="00CB55FC" w:rsidRDefault="00CB5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126986F6" w14:textId="77777777" w:rsidR="00CB55FC" w:rsidRDefault="00CB55FC">
      <w:pPr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br w:type="page"/>
      </w:r>
    </w:p>
    <w:p w14:paraId="6A11C82F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зобов'язання та забезпечення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440"/>
        <w:gridCol w:w="1480"/>
        <w:gridCol w:w="1940"/>
        <w:gridCol w:w="1328"/>
      </w:tblGrid>
      <w:tr w:rsidR="00FC6662" w14:paraId="7ECCCC72" w14:textId="77777777" w:rsidTr="00B03497">
        <w:trPr>
          <w:trHeight w:val="2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9A44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Види зобов’язань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0965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виникнення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4007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Непогашена частина боргу (тис. грн)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38B6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Відсоток за користування коштами (відсоток річних)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48FAD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погашення</w:t>
            </w:r>
          </w:p>
        </w:tc>
      </w:tr>
      <w:tr w:rsidR="00FC6662" w14:paraId="62D0E187" w14:textId="77777777" w:rsidTr="00B03497">
        <w:trPr>
          <w:trHeight w:val="2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C1B4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Кредити банку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FB2A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6C46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8B12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D0FEE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FC6662" w14:paraId="2873DFDB" w14:textId="77777777" w:rsidTr="00B03497">
        <w:trPr>
          <w:trHeight w:val="2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8D5A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D85650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C6662" w14:paraId="7123642E" w14:textId="77777777" w:rsidTr="00B03497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A62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Зобов’язання за цінними паперами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5C2F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5D7B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22EE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FEF5A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FC6662" w14:paraId="3A175495" w14:textId="77777777" w:rsidTr="00B03497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7285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63F768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FC6662" w14:paraId="091CFB41" w14:textId="77777777" w:rsidTr="00B03497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49F1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облігаціями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7E95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0242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7825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80612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FC6662" w14:paraId="3BF82866" w14:textId="77777777" w:rsidTr="00B03497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FA26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іпотечними цінними паперами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6800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A0C8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00A5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2956E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FC6662" w14:paraId="6A7FD482" w14:textId="77777777" w:rsidTr="00B03497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29F4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сертифікатами ФОН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558E9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0AEA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7EAA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31907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FC6662" w14:paraId="57E1396C" w14:textId="77777777" w:rsidTr="00B03497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870A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векселями (всього):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72A1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753C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5F0C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83DDC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FC6662" w14:paraId="04A48556" w14:textId="77777777" w:rsidTr="00B03497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4BB4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іншими цінними паперами (у тому числі за деривативами)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2555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182E9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8125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F46A7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FC6662" w14:paraId="386510FD" w14:textId="77777777" w:rsidTr="00B03497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BF9A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4509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5303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762A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00951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FC6662" w14:paraId="588523C5" w14:textId="77777777" w:rsidTr="00B03497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98E2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Податкові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E681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D48D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20 296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F9F2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B915C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FC6662" w14:paraId="2DD51E37" w14:textId="77777777" w:rsidTr="00B03497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2A7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Податок на прибуток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C2CC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C73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17 419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CE1F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A5E87F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C6662" w14:paraId="62E7697C" w14:textId="77777777" w:rsidTr="00B03497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4E1C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Податок на доходи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2354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2DA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2 644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14D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BC6123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C6662" w14:paraId="7EF018FE" w14:textId="77777777" w:rsidTr="00B03497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697E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податковi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F7626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4973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233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9620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C3ADD2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C6662" w14:paraId="0EDC48F7" w14:textId="77777777" w:rsidTr="00B03497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BC1F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Фінансова допомога на зворотній основі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CAD3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F0A2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6345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22DF4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FC6662" w14:paraId="6DB4AB74" w14:textId="77777777" w:rsidTr="00B03497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7D89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зобов'язання та забезпечення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DE84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6006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244 569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A6A3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CA01D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FC6662" w14:paraId="015C8816" w14:textId="77777777" w:rsidTr="00B03497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7D2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Вiдстроченi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податковi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E5F6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DC8F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93 746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360D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A78315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C6662" w14:paraId="7D830B54" w14:textId="77777777" w:rsidTr="00B03497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D641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товари, роботи, послуги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DE17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5D07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27 975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BB40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867D55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C6662" w14:paraId="74F93656" w14:textId="77777777" w:rsidTr="00B03497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939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розрахунками </w:t>
            </w:r>
            <w:proofErr w:type="spellStart"/>
            <w:r>
              <w:rPr>
                <w:rFonts w:ascii="Times New Roman CYR" w:hAnsi="Times New Roman CYR" w:cs="Times New Roman CYR"/>
              </w:rPr>
              <w:t>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страхування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0936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3D4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3 015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8C6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F653CA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C6662" w14:paraId="28E8C1CF" w14:textId="77777777" w:rsidTr="00B03497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665C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розрахунками з оплати </w:t>
            </w:r>
            <w:proofErr w:type="spellStart"/>
            <w:r>
              <w:rPr>
                <w:rFonts w:ascii="Times New Roman CYR" w:hAnsi="Times New Roman CYR" w:cs="Times New Roman CYR"/>
              </w:rPr>
              <w:t>працi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C13F4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777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10 322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20BC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5B0C03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C6662" w14:paraId="7508D5F3" w14:textId="77777777" w:rsidTr="00B03497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D94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одержаними авансами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F194F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AE57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3 914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199C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D59D85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C6662" w14:paraId="2325FDFB" w14:textId="77777777" w:rsidTr="00B03497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B4E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розрахунками з учасниками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DC66F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25E2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79 325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B39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BEBB59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C6662" w14:paraId="58D34F1E" w14:textId="77777777" w:rsidTr="00B03497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45F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Поточнi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забезпечення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144DB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6DA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19 499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9C52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7D592F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C6662" w14:paraId="26D0C1A0" w14:textId="77777777" w:rsidTr="00B03497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F133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поточнi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19667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AA5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4 054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729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CA0FE7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C6662" w14:paraId="51F94C9B" w14:textId="77777777" w:rsidTr="00B03497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0CD2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довгостроковими зобов'язаннями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0339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7621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2 244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278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BA526F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C6662" w14:paraId="57846369" w14:textId="77777777" w:rsidTr="00B03497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CBFC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довгостроковi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73872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D5BD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D6D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94FB94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C6662" w14:paraId="51806CBA" w14:textId="77777777" w:rsidTr="00B03497">
        <w:trPr>
          <w:trHeight w:val="3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69CB9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зобов'язань та забезпечень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7161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627C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264 865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0A71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B777E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</w:tbl>
    <w:p w14:paraId="46D80D29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97DC5D1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FC6662" w:rsidSect="00CB55FC">
          <w:pgSz w:w="12240" w:h="15840"/>
          <w:pgMar w:top="570" w:right="720" w:bottom="570" w:left="720" w:header="708" w:footer="316" w:gutter="0"/>
          <w:cols w:space="720"/>
          <w:noEndnote/>
        </w:sectPr>
      </w:pPr>
    </w:p>
    <w:p w14:paraId="191AE0A8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обсяги виробництва та реалізації основних видів продукції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2500"/>
        <w:gridCol w:w="2000"/>
        <w:gridCol w:w="2000"/>
        <w:gridCol w:w="2200"/>
        <w:gridCol w:w="2000"/>
        <w:gridCol w:w="2000"/>
        <w:gridCol w:w="2200"/>
      </w:tblGrid>
      <w:tr w:rsidR="00FC6662" w14:paraId="464BD6A5" w14:textId="77777777">
        <w:trPr>
          <w:trHeight w:val="200"/>
        </w:trPr>
        <w:tc>
          <w:tcPr>
            <w:tcW w:w="500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295EE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B986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Основний вид продукції</w:t>
            </w:r>
          </w:p>
        </w:tc>
        <w:tc>
          <w:tcPr>
            <w:tcW w:w="6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21C8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Обсяг виробництва</w:t>
            </w:r>
          </w:p>
        </w:tc>
        <w:tc>
          <w:tcPr>
            <w:tcW w:w="6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8E407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Обсяг реалізованої продукції</w:t>
            </w:r>
          </w:p>
        </w:tc>
      </w:tr>
      <w:tr w:rsidR="00FC6662" w14:paraId="02845D7C" w14:textId="77777777">
        <w:trPr>
          <w:trHeight w:val="200"/>
        </w:trPr>
        <w:tc>
          <w:tcPr>
            <w:tcW w:w="500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676415E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6B3A6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6D4D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натуральній формі (фізична одиниця виміру)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0781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 грошовій формі,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C4D2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відсотках до всієї виробленої продукції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94EA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натуральній формі (фізична одиниця виміру)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B22F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у грошовій формі,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78ACA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відсотках до всієї реалізованої продукції</w:t>
            </w:r>
          </w:p>
        </w:tc>
      </w:tr>
      <w:tr w:rsidR="00FC6662" w14:paraId="38CE81C0" w14:textId="77777777">
        <w:tblPrEx>
          <w:tblCellMar>
            <w:left w:w="28" w:type="dxa"/>
            <w:right w:w="28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3173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E898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EC3C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98AE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3739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5A13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5F05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E289D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FC6662" w14:paraId="13D21335" w14:textId="77777777">
        <w:tblPrEx>
          <w:tblCellMar>
            <w:left w:w="28" w:type="dxa"/>
            <w:right w:w="28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86A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DAD3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Препарати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</w:t>
            </w:r>
            <w:proofErr w:type="spellStart"/>
            <w:r>
              <w:rPr>
                <w:rFonts w:ascii="Times New Roman CYR" w:hAnsi="Times New Roman CYR" w:cs="Times New Roman CYR"/>
              </w:rPr>
              <w:t>мiстять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змiшанi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 </w:t>
            </w:r>
            <w:proofErr w:type="spellStart"/>
            <w:r>
              <w:rPr>
                <w:rFonts w:ascii="Times New Roman CYR" w:hAnsi="Times New Roman CYR" w:cs="Times New Roman CYR"/>
              </w:rPr>
              <w:t>незмiшанi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продукти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47C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13 296 926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09DC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1147685,6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2624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74,3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A02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14 521 989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C7E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1079738,7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A659D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72,5</w:t>
            </w:r>
          </w:p>
        </w:tc>
      </w:tr>
      <w:tr w:rsidR="00FC6662" w14:paraId="3B4891CF" w14:textId="77777777">
        <w:tblPrEx>
          <w:tblCellMar>
            <w:left w:w="28" w:type="dxa"/>
            <w:right w:w="28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9A4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5FD8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Препарати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</w:t>
            </w:r>
            <w:proofErr w:type="spellStart"/>
            <w:r>
              <w:rPr>
                <w:rFonts w:ascii="Times New Roman CYR" w:hAnsi="Times New Roman CYR" w:cs="Times New Roman CYR"/>
              </w:rPr>
              <w:t>мiстять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антибiотики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907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11 673 820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D59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386912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8D4F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E58F9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12 663 313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83B7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321288,1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FE63D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21,6</w:t>
            </w:r>
          </w:p>
        </w:tc>
      </w:tr>
    </w:tbl>
    <w:p w14:paraId="6A0E8B49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B026E99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FC6662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3759BFD2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собівартість реалізованої продукції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0"/>
        <w:gridCol w:w="3300"/>
        <w:gridCol w:w="5900"/>
      </w:tblGrid>
      <w:tr w:rsidR="00FC6662" w14:paraId="436953AD" w14:textId="77777777">
        <w:trPr>
          <w:trHeight w:val="300"/>
        </w:trPr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0A5C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43F2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Склад витрат</w:t>
            </w:r>
          </w:p>
        </w:tc>
        <w:tc>
          <w:tcPr>
            <w:tcW w:w="5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78553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Відсоток від загальної собівартості реалізованої продукції (у відсотках)</w:t>
            </w:r>
          </w:p>
        </w:tc>
      </w:tr>
      <w:tr w:rsidR="00FC6662" w14:paraId="6F76BEE0" w14:textId="77777777">
        <w:trPr>
          <w:trHeight w:val="300"/>
        </w:trPr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BFEF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24CB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B6A8C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</w:tr>
      <w:tr w:rsidR="00FC6662" w14:paraId="5E6BC02C" w14:textId="77777777">
        <w:trPr>
          <w:trHeight w:val="300"/>
        </w:trPr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581B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804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Матерiали</w:t>
            </w:r>
            <w:proofErr w:type="spellEnd"/>
          </w:p>
        </w:tc>
        <w:tc>
          <w:tcPr>
            <w:tcW w:w="5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BEEBE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62,2</w:t>
            </w:r>
          </w:p>
        </w:tc>
      </w:tr>
      <w:tr w:rsidR="00FC6662" w14:paraId="26DFCB28" w14:textId="77777777">
        <w:trPr>
          <w:trHeight w:val="300"/>
        </w:trPr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42F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7FB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Загально-</w:t>
            </w:r>
            <w:proofErr w:type="spellStart"/>
            <w:r>
              <w:rPr>
                <w:rFonts w:ascii="Times New Roman CYR" w:hAnsi="Times New Roman CYR" w:cs="Times New Roman CYR"/>
              </w:rPr>
              <w:t>виробничi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витрати (</w:t>
            </w:r>
            <w:proofErr w:type="spellStart"/>
            <w:r>
              <w:rPr>
                <w:rFonts w:ascii="Times New Roman CYR" w:hAnsi="Times New Roman CYR" w:cs="Times New Roman CYR"/>
              </w:rPr>
              <w:t>змiннi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5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A62B8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17,4</w:t>
            </w:r>
          </w:p>
        </w:tc>
      </w:tr>
      <w:tr w:rsidR="00FC6662" w14:paraId="77F4F00C" w14:textId="77777777">
        <w:trPr>
          <w:trHeight w:val="300"/>
        </w:trPr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887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E2E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Загально-</w:t>
            </w:r>
            <w:proofErr w:type="spellStart"/>
            <w:r>
              <w:rPr>
                <w:rFonts w:ascii="Times New Roman CYR" w:hAnsi="Times New Roman CYR" w:cs="Times New Roman CYR"/>
              </w:rPr>
              <w:t>виробничi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витрати (</w:t>
            </w:r>
            <w:proofErr w:type="spellStart"/>
            <w:r>
              <w:rPr>
                <w:rFonts w:ascii="Times New Roman CYR" w:hAnsi="Times New Roman CYR" w:cs="Times New Roman CYR"/>
              </w:rPr>
              <w:t>постiйнi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5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7A394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15,9</w:t>
            </w:r>
          </w:p>
        </w:tc>
      </w:tr>
    </w:tbl>
    <w:p w14:paraId="0AA9FBAB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628739D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осіб, послугами яких користується особа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FC6662" w14:paraId="477BA80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8131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3251E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України"</w:t>
            </w:r>
          </w:p>
        </w:tc>
      </w:tr>
      <w:tr w:rsidR="00FC6662" w14:paraId="7D2AFA7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A3AC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DEF35C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C6662" w14:paraId="50AA928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C21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E04B03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C6662" w14:paraId="347FE2F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3EFD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D466F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</w:tr>
      <w:tr w:rsidR="00FC6662" w14:paraId="105A62F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A6A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8E1F7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30370711</w:t>
            </w:r>
          </w:p>
        </w:tc>
      </w:tr>
      <w:tr w:rsidR="00FC6662" w14:paraId="341F278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4B5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1A403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04071, Україна, м. Київ, вул. </w:t>
            </w:r>
            <w:proofErr w:type="spellStart"/>
            <w:r>
              <w:rPr>
                <w:rFonts w:ascii="Times New Roman CYR" w:hAnsi="Times New Roman CYR" w:cs="Times New Roman CYR"/>
              </w:rPr>
              <w:t>Якубенкiвська</w:t>
            </w:r>
            <w:proofErr w:type="spellEnd"/>
            <w:r>
              <w:rPr>
                <w:rFonts w:ascii="Times New Roman CYR" w:hAnsi="Times New Roman CYR" w:cs="Times New Roman CYR"/>
              </w:rPr>
              <w:t>, 7-г</w:t>
            </w:r>
          </w:p>
        </w:tc>
      </w:tr>
      <w:tr w:rsidR="00FC6662" w14:paraId="7FCB74C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FE79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9E23A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FC6662" w14:paraId="1EF1C7C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8A0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F9F32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FC6662" w14:paraId="593CD36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A085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6FC748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C6662" w14:paraId="618ED3F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7ADE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273E5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044 363 04 00</w:t>
            </w:r>
          </w:p>
        </w:tc>
      </w:tr>
      <w:tr w:rsidR="00FC6662" w14:paraId="6920E53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6E1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9A4D8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Оброблення даних,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веб-вузлах i пов'язана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559C564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62.09 - </w:t>
            </w:r>
            <w:proofErr w:type="spellStart"/>
            <w:r>
              <w:rPr>
                <w:rFonts w:ascii="Times New Roman CYR" w:hAnsi="Times New Roman CYR" w:cs="Times New Roman CYR"/>
              </w:rPr>
              <w:t>Iнша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сферi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iнформацiйних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технологiй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комп'ютерних систем</w:t>
            </w:r>
          </w:p>
          <w:p w14:paraId="69A7E59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62.02 - Консультування з питань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FC6662" w14:paraId="64E3767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803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156C2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Надає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послуги з обслуговування випуску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 </w:t>
            </w:r>
            <w:proofErr w:type="spellStart"/>
            <w:r>
              <w:rPr>
                <w:rFonts w:ascii="Times New Roman CYR" w:hAnsi="Times New Roman CYR" w:cs="Times New Roman CYR"/>
              </w:rPr>
              <w:t>Дiє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без </w:t>
            </w:r>
            <w:proofErr w:type="spellStart"/>
            <w:r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пiдставi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Правил Центрального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</w:p>
        </w:tc>
      </w:tr>
    </w:tbl>
    <w:p w14:paraId="054408E6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FC6662" w14:paraId="62B7674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6215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09F2E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"Кредит-рейтинг"</w:t>
            </w:r>
          </w:p>
        </w:tc>
      </w:tr>
      <w:tr w:rsidR="00FC6662" w14:paraId="69815E8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1B17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02BFB5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C6662" w14:paraId="3D12EFD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C18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51395F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C6662" w14:paraId="2C50EAE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7EE8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D6D90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Товариство з обмеженою відповідальністю</w:t>
            </w:r>
          </w:p>
        </w:tc>
      </w:tr>
      <w:tr w:rsidR="00FC6662" w14:paraId="69307EF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FDE5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12256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31752402</w:t>
            </w:r>
          </w:p>
        </w:tc>
      </w:tr>
      <w:tr w:rsidR="00FC6662" w14:paraId="23A919A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67D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33F0C9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04070, Україна, м. Київ, вул. </w:t>
            </w:r>
            <w:proofErr w:type="spellStart"/>
            <w:r>
              <w:rPr>
                <w:rFonts w:ascii="Times New Roman CYR" w:hAnsi="Times New Roman CYR" w:cs="Times New Roman CYR"/>
              </w:rPr>
              <w:t>Верхнiй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Вал, 72</w:t>
            </w:r>
          </w:p>
        </w:tc>
      </w:tr>
      <w:tr w:rsidR="00FC6662" w14:paraId="10374EB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9CBD9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1E15C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</w:tr>
      <w:tr w:rsidR="00FC6662" w14:paraId="0962666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4666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694AA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</w:tr>
      <w:tr w:rsidR="00FC6662" w14:paraId="7B22C39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4C1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B8DDD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10.04.2012</w:t>
            </w:r>
          </w:p>
        </w:tc>
      </w:tr>
      <w:tr w:rsidR="00FC6662" w14:paraId="243DF88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64CD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AE13E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044 490 25 50</w:t>
            </w:r>
          </w:p>
        </w:tc>
      </w:tr>
      <w:tr w:rsidR="00FC6662" w14:paraId="67A715A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3A8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Основні види діяльності із зазначенням їх найменування та </w:t>
            </w:r>
            <w:r>
              <w:rPr>
                <w:rFonts w:ascii="Times New Roman CYR" w:hAnsi="Times New Roman CYR" w:cs="Times New Roman CYR"/>
              </w:rPr>
              <w:lastRenderedPageBreak/>
              <w:t>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53FA5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70.22 - </w:t>
            </w:r>
            <w:proofErr w:type="spellStart"/>
            <w:r>
              <w:rPr>
                <w:rFonts w:ascii="Times New Roman CYR" w:hAnsi="Times New Roman CYR" w:cs="Times New Roman CYR"/>
              </w:rPr>
              <w:t>Консультацiї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питань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комерцiйної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</w:p>
          <w:p w14:paraId="64B750E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73.20 - </w:t>
            </w:r>
            <w:proofErr w:type="spellStart"/>
            <w:r>
              <w:rPr>
                <w:rFonts w:ascii="Times New Roman CYR" w:hAnsi="Times New Roman CYR" w:cs="Times New Roman CYR"/>
              </w:rPr>
              <w:t>Дослiдження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кон'юнктури ринку та виявлення громадської думки</w:t>
            </w:r>
          </w:p>
        </w:tc>
      </w:tr>
      <w:tr w:rsidR="00FC6662" w14:paraId="1C674D9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6141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6E66B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Рейтингова </w:t>
            </w:r>
            <w:proofErr w:type="spellStart"/>
            <w:r>
              <w:rPr>
                <w:rFonts w:ascii="Times New Roman CYR" w:hAnsi="Times New Roman CYR" w:cs="Times New Roman CYR"/>
              </w:rPr>
              <w:t>оцiнка</w:t>
            </w:r>
            <w:proofErr w:type="spellEnd"/>
          </w:p>
        </w:tc>
      </w:tr>
    </w:tbl>
    <w:p w14:paraId="4217EB2D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FC6662" w14:paraId="759DBCA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5F0F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1A28D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 "</w:t>
            </w:r>
            <w:proofErr w:type="spellStart"/>
            <w:r>
              <w:rPr>
                <w:rFonts w:ascii="Times New Roman CYR" w:hAnsi="Times New Roman CYR" w:cs="Times New Roman CYR"/>
              </w:rPr>
              <w:t>Iвекс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</w:tr>
      <w:tr w:rsidR="00FC6662" w14:paraId="74043B1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8EB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219956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C6662" w14:paraId="2930EFA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B490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0C8402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C6662" w14:paraId="5097843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E87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93725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</w:tr>
      <w:tr w:rsidR="00FC6662" w14:paraId="731757E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47A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FE47D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21600862</w:t>
            </w:r>
          </w:p>
        </w:tc>
      </w:tr>
      <w:tr w:rsidR="00FC6662" w14:paraId="09E398F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0D5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D1778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01021, Україна, м. Київ, Кловський </w:t>
            </w:r>
            <w:proofErr w:type="spellStart"/>
            <w:r>
              <w:rPr>
                <w:rFonts w:ascii="Times New Roman CYR" w:hAnsi="Times New Roman CYR" w:cs="Times New Roman CYR"/>
              </w:rPr>
              <w:t>узвiз</w:t>
            </w:r>
            <w:proofErr w:type="spellEnd"/>
            <w:r>
              <w:rPr>
                <w:rFonts w:ascii="Times New Roman CYR" w:hAnsi="Times New Roman CYR" w:cs="Times New Roman CYR"/>
              </w:rPr>
              <w:t>, 7</w:t>
            </w:r>
          </w:p>
        </w:tc>
      </w:tr>
      <w:tr w:rsidR="00FC6662" w14:paraId="1CF1D0B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04A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136AB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АЕ 286639</w:t>
            </w:r>
          </w:p>
        </w:tc>
      </w:tr>
      <w:tr w:rsidR="00FC6662" w14:paraId="1EA5B5C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0B50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8E92E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</w:tr>
      <w:tr w:rsidR="00FC6662" w14:paraId="7E468C7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C612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68BDC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10.10.2013</w:t>
            </w:r>
          </w:p>
        </w:tc>
      </w:tr>
      <w:tr w:rsidR="00FC6662" w14:paraId="42AD0FB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51A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55265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044 590 54 54</w:t>
            </w:r>
          </w:p>
        </w:tc>
      </w:tr>
      <w:tr w:rsidR="00FC6662" w14:paraId="3D8CBBD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0516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7F63D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64.99 - Надання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послуг (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страхування та </w:t>
            </w:r>
            <w:proofErr w:type="spellStart"/>
            <w:r>
              <w:rPr>
                <w:rFonts w:ascii="Times New Roman CYR" w:hAnsi="Times New Roman CYR" w:cs="Times New Roman CYR"/>
              </w:rPr>
              <w:t>пенсiйного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забезпечення), н. в. i.</w:t>
            </w:r>
          </w:p>
          <w:p w14:paraId="5C25E1E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66.12 - Посередництво за договорами по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паперах або товарах</w:t>
            </w:r>
          </w:p>
          <w:p w14:paraId="345860F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66.19 - </w:t>
            </w:r>
            <w:proofErr w:type="spellStart"/>
            <w:r>
              <w:rPr>
                <w:rFonts w:ascii="Times New Roman CYR" w:hAnsi="Times New Roman CYR" w:cs="Times New Roman CYR"/>
              </w:rPr>
              <w:t>Iнша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допомiжна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сферi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послуг, 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страхування та </w:t>
            </w:r>
            <w:proofErr w:type="spellStart"/>
            <w:r>
              <w:rPr>
                <w:rFonts w:ascii="Times New Roman CYR" w:hAnsi="Times New Roman CYR" w:cs="Times New Roman CYR"/>
              </w:rPr>
              <w:t>пенсiйного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забезпечення</w:t>
            </w:r>
          </w:p>
        </w:tc>
      </w:tr>
      <w:tr w:rsidR="00FC6662" w14:paraId="4981CAC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3EA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E4AB0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депозитарна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депозитарної установи</w:t>
            </w:r>
          </w:p>
        </w:tc>
      </w:tr>
    </w:tbl>
    <w:p w14:paraId="134D777C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FC6662" w14:paraId="44DF8F5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D8A3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DB51D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Агенцiя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консалтингових послуг"</w:t>
            </w:r>
          </w:p>
        </w:tc>
      </w:tr>
      <w:tr w:rsidR="00FC6662" w14:paraId="157662B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B5F4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D278F0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C6662" w14:paraId="13456FC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68E1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756F8D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C6662" w14:paraId="2D1FA70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135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99AA1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Товариство з обмеженою відповідальністю</w:t>
            </w:r>
          </w:p>
        </w:tc>
      </w:tr>
      <w:tr w:rsidR="00FC6662" w14:paraId="4E34B03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85E0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1B6D1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36557752</w:t>
            </w:r>
          </w:p>
        </w:tc>
      </w:tr>
      <w:tr w:rsidR="00FC6662" w14:paraId="582BBE8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3C4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6A117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02068, Україна, м. Київ, вул. Олени </w:t>
            </w:r>
            <w:proofErr w:type="spellStart"/>
            <w:r>
              <w:rPr>
                <w:rFonts w:ascii="Times New Roman CYR" w:hAnsi="Times New Roman CYR" w:cs="Times New Roman CYR"/>
              </w:rPr>
              <w:t>Пчiлки</w:t>
            </w:r>
            <w:proofErr w:type="spellEnd"/>
            <w:r>
              <w:rPr>
                <w:rFonts w:ascii="Times New Roman CYR" w:hAnsi="Times New Roman CYR" w:cs="Times New Roman CYR"/>
              </w:rPr>
              <w:t>, 2-Б</w:t>
            </w:r>
          </w:p>
        </w:tc>
      </w:tr>
      <w:tr w:rsidR="00FC6662" w14:paraId="3CC3A33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BD1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BA43B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16050/14</w:t>
            </w:r>
          </w:p>
        </w:tc>
      </w:tr>
      <w:tr w:rsidR="00FC6662" w14:paraId="2274995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9142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66E539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Фонд державного майна України</w:t>
            </w:r>
          </w:p>
        </w:tc>
      </w:tr>
      <w:tr w:rsidR="00FC6662" w14:paraId="11E181A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86E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416C3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18.02.2014</w:t>
            </w:r>
          </w:p>
        </w:tc>
      </w:tr>
      <w:tr w:rsidR="00FC6662" w14:paraId="0995AAC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8A1D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A48BD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044 332 77 23</w:t>
            </w:r>
          </w:p>
        </w:tc>
      </w:tr>
      <w:tr w:rsidR="00FC6662" w14:paraId="1B9107C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18F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B8B929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68.31 - Агентства </w:t>
            </w:r>
            <w:proofErr w:type="spellStart"/>
            <w:r>
              <w:rPr>
                <w:rFonts w:ascii="Times New Roman CYR" w:hAnsi="Times New Roman CYR" w:cs="Times New Roman CYR"/>
              </w:rPr>
              <w:t>нерухомостi</w:t>
            </w:r>
            <w:proofErr w:type="spellEnd"/>
          </w:p>
          <w:p w14:paraId="20A43649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85.59 -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види </w:t>
            </w:r>
            <w:proofErr w:type="spellStart"/>
            <w:r>
              <w:rPr>
                <w:rFonts w:ascii="Times New Roman CYR" w:hAnsi="Times New Roman CYR" w:cs="Times New Roman CYR"/>
              </w:rPr>
              <w:t>освiти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н.в.i.у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56C3409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62.02 -  Консультування з питань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FC6662" w14:paraId="2EBACCD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C52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0FC9B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Оцiнка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необоротних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</w:p>
        </w:tc>
      </w:tr>
    </w:tbl>
    <w:p w14:paraId="4F525ADB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FC6662" w14:paraId="42485FA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673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A872C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УСТАНОВА "АГЕНТСТВО З РОЗВИТКУ </w:t>
            </w:r>
            <w:r>
              <w:rPr>
                <w:rFonts w:ascii="Times New Roman CYR" w:hAnsi="Times New Roman CYR" w:cs="Times New Roman CYR"/>
              </w:rPr>
              <w:lastRenderedPageBreak/>
              <w:t>IНФРАСТРУКТУРИ ФОНДОВОГО РИНКУ УКРАЇНИ"</w:t>
            </w:r>
          </w:p>
        </w:tc>
      </w:tr>
      <w:tr w:rsidR="00FC6662" w14:paraId="6C55915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9C92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F6CE4F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C6662" w14:paraId="7BA5893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51B2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E0A1A2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C6662" w14:paraId="641FF09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EA44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411DC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Державна організація (установа, заклад)</w:t>
            </w:r>
          </w:p>
        </w:tc>
      </w:tr>
      <w:tr w:rsidR="00FC6662" w14:paraId="0D942BB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015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09E49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21676262</w:t>
            </w:r>
          </w:p>
        </w:tc>
      </w:tr>
      <w:tr w:rsidR="00FC6662" w14:paraId="65A30B3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E96D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CCFA1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03150, Україна, м. Київ, вул. Антоновича, буд. 51, </w:t>
            </w:r>
            <w:proofErr w:type="spellStart"/>
            <w:r>
              <w:rPr>
                <w:rFonts w:ascii="Times New Roman CYR" w:hAnsi="Times New Roman CYR" w:cs="Times New Roman CYR"/>
              </w:rPr>
              <w:t>офiс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1206</w:t>
            </w:r>
          </w:p>
        </w:tc>
      </w:tr>
      <w:tr w:rsidR="00FC6662" w14:paraId="3ABE9F4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2F68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E985C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FC6662" w14:paraId="05C1B40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13B2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7781F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FC6662" w14:paraId="4C1EAEF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52FF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ADD704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C6662" w14:paraId="0A009D5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AEC9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C3DCF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044 287-56-70</w:t>
            </w:r>
          </w:p>
        </w:tc>
      </w:tr>
      <w:tr w:rsidR="00FC6662" w14:paraId="6BAB965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C40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E98F0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Оброблення даних,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веб-вузлах i пов'язана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072063D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84.13 - Регулювання та сприяння ефективному веденню </w:t>
            </w:r>
            <w:proofErr w:type="spellStart"/>
            <w:r>
              <w:rPr>
                <w:rFonts w:ascii="Times New Roman CYR" w:hAnsi="Times New Roman CYR" w:cs="Times New Roman CYR"/>
              </w:rPr>
              <w:t>економiчної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</w:p>
          <w:p w14:paraId="00A2413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62.02 - Консультування з питань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FC6662" w14:paraId="0002A87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7C6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14475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Дiє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без </w:t>
            </w:r>
            <w:proofErr w:type="spellStart"/>
            <w:r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Надання послуг з оприлюднення та подання до НКЦПФР регульованої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</w:p>
        </w:tc>
      </w:tr>
    </w:tbl>
    <w:p w14:paraId="01064D88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9D8FB86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436364B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FC6662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6ECDB5C2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5. Участь в інших юридичних особах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000"/>
        <w:gridCol w:w="3000"/>
        <w:gridCol w:w="2300"/>
        <w:gridCol w:w="1200"/>
        <w:gridCol w:w="1200"/>
        <w:gridCol w:w="1200"/>
        <w:gridCol w:w="3000"/>
      </w:tblGrid>
      <w:tr w:rsidR="00FC6662" w14:paraId="68A5296C" w14:textId="77777777">
        <w:trPr>
          <w:trHeight w:val="200"/>
        </w:trPr>
        <w:tc>
          <w:tcPr>
            <w:tcW w:w="500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C2BD8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CB23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Повне найменування юридичної особи, в </w:t>
            </w:r>
            <w:proofErr w:type="spellStart"/>
            <w:r>
              <w:rPr>
                <w:rFonts w:ascii="Times New Roman CYR" w:hAnsi="Times New Roman CYR" w:cs="Times New Roman CYR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</w:rPr>
              <w:t>. її організаційно-правова форма</w:t>
            </w:r>
          </w:p>
        </w:tc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EA6B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 юридичної особи</w:t>
            </w:r>
          </w:p>
        </w:tc>
        <w:tc>
          <w:tcPr>
            <w:tcW w:w="23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EFBD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особи/ номер/код з судового/торговельного/банківського реєстру</w:t>
            </w: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16CB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Розмір участі особи (у відсотках)</w:t>
            </w:r>
          </w:p>
        </w:tc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D5302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Активи, які було передано особі</w:t>
            </w:r>
          </w:p>
        </w:tc>
      </w:tr>
      <w:tr w:rsidR="00FC6662" w14:paraId="022483E9" w14:textId="77777777">
        <w:trPr>
          <w:trHeight w:val="200"/>
        </w:trPr>
        <w:tc>
          <w:tcPr>
            <w:tcW w:w="500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330B99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0AD9E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179B6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729F1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0A87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пряма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BB39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опосередкована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6D0A9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сукупна</w:t>
            </w:r>
          </w:p>
        </w:tc>
        <w:tc>
          <w:tcPr>
            <w:tcW w:w="3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8FC926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C6662" w14:paraId="7204D6BF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53199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C9E0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6CB5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43C0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077F9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7363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8B78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046E3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FC6662" w14:paraId="4EC0F675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F420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6B3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ПРИВАТНЕ АКЦIОНЕРНЕ ТОВАРИСТВО "ГЛОБАЛIС"</w:t>
            </w:r>
          </w:p>
          <w:p w14:paraId="47112B8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026D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Україна, 61054,Харкiвська обл., </w:t>
            </w:r>
            <w:proofErr w:type="spellStart"/>
            <w:r>
              <w:rPr>
                <w:rFonts w:ascii="Times New Roman CYR" w:hAnsi="Times New Roman CYR" w:cs="Times New Roman CYR"/>
              </w:rPr>
              <w:t>мiсто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Харкiв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вул.Павлова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Академiка</w:t>
            </w:r>
            <w:proofErr w:type="spellEnd"/>
            <w:r>
              <w:rPr>
                <w:rFonts w:ascii="Times New Roman CYR" w:hAnsi="Times New Roman CYR" w:cs="Times New Roman CYR"/>
              </w:rPr>
              <w:t>, будинок 271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306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24735858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2799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0,000895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E62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801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0,000895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96C99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895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FC6662" w14:paraId="15AE1D79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BB45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2D65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АКЦIОНЕРНЕ ТОВАРИСТВО "</w:t>
            </w:r>
            <w:proofErr w:type="spellStart"/>
            <w:r>
              <w:rPr>
                <w:rFonts w:ascii="Times New Roman CYR" w:hAnsi="Times New Roman CYR" w:cs="Times New Roman CYR"/>
              </w:rPr>
              <w:t>Лубнифарм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  <w:p w14:paraId="46E55B7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9CE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37500, Полтавська, Лубенський, м. Лубни, </w:t>
            </w:r>
            <w:proofErr w:type="spellStart"/>
            <w:r>
              <w:rPr>
                <w:rFonts w:ascii="Times New Roman CYR" w:hAnsi="Times New Roman CYR" w:cs="Times New Roman CYR"/>
              </w:rPr>
              <w:t>Барвiнкова</w:t>
            </w:r>
            <w:proofErr w:type="spellEnd"/>
            <w:r>
              <w:rPr>
                <w:rFonts w:ascii="Times New Roman CYR" w:hAnsi="Times New Roman CYR" w:cs="Times New Roman CYR"/>
              </w:rPr>
              <w:t>, 16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9238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00480951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3D57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382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090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F43BF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3,6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FC6662" w14:paraId="004B9DD9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62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ACA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Enterprise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with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foreign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investment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Limited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liability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company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"KORVITA-FARM"</w:t>
            </w:r>
          </w:p>
          <w:p w14:paraId="05D13FC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Іноземне підприємство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10A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Республiка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Узбекистан, </w:t>
            </w:r>
            <w:proofErr w:type="spellStart"/>
            <w:r>
              <w:rPr>
                <w:rFonts w:ascii="Times New Roman CYR" w:hAnsi="Times New Roman CYR" w:cs="Times New Roman CYR"/>
              </w:rPr>
              <w:t>м.Ташкент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Мирзо-Улугбекський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район, </w:t>
            </w:r>
            <w:proofErr w:type="spellStart"/>
            <w:r>
              <w:rPr>
                <w:rFonts w:ascii="Times New Roman CYR" w:hAnsi="Times New Roman CYR" w:cs="Times New Roman CYR"/>
              </w:rPr>
              <w:t>вул.Бозбозор</w:t>
            </w:r>
            <w:proofErr w:type="spellEnd"/>
            <w:r>
              <w:rPr>
                <w:rFonts w:ascii="Times New Roman CYR" w:hAnsi="Times New Roman CYR" w:cs="Times New Roman CYR"/>
              </w:rPr>
              <w:t>, 7 проїзд, б.21.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3B75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207160488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CD12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C0F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BC09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B8456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121 500 USD</w:t>
            </w:r>
          </w:p>
        </w:tc>
      </w:tr>
      <w:tr w:rsidR="00FC6662" w14:paraId="7D24EFAD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32F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83E1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СПIЛЬНЕ УКРАЇНСЬКО-КИТАЙСЬКЕ ФАРМАЦЕВТИЧНЕ ПIДПРИЄМСТВО ДРУЖБА У ФОРМI ТОВАРИСТВА З ОБМЕЖЕНОЮ ВIДПОВIДАЛЬНIСТЮ</w:t>
            </w:r>
          </w:p>
          <w:p w14:paraId="5172343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Товариство з обмеженою відповідальністю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B2A7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ab/>
              <w:t xml:space="preserve">Україна, 03134, </w:t>
            </w:r>
            <w:proofErr w:type="spellStart"/>
            <w:r>
              <w:rPr>
                <w:rFonts w:ascii="Times New Roman CYR" w:hAnsi="Times New Roman CYR" w:cs="Times New Roman CYR"/>
              </w:rPr>
              <w:t>мiсто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Київ, вулиця Миру, будинок 17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8E9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22966743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B2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66,7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99A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2568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66,7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EDE98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131 тис. грн.</w:t>
            </w:r>
          </w:p>
        </w:tc>
      </w:tr>
    </w:tbl>
    <w:p w14:paraId="0D0BC7FF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E90338E" w14:textId="77777777" w:rsidR="00CB55FC" w:rsidRDefault="00CB55FC">
      <w:pP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br w:type="page"/>
      </w:r>
    </w:p>
    <w:p w14:paraId="180436C3" w14:textId="756B405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6. Відокремлені підрозділи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2500"/>
        <w:gridCol w:w="3500"/>
        <w:gridCol w:w="5400"/>
      </w:tblGrid>
      <w:tr w:rsidR="00FC6662" w14:paraId="28D01C93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5A85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8C33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 відокремленого підрозділу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6D1B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Тип (філія, представництво, відділення тощо)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7B86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Місцезнаходження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0B768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Функції відокремленого підрозділу</w:t>
            </w:r>
          </w:p>
        </w:tc>
      </w:tr>
      <w:tr w:rsidR="00FC6662" w14:paraId="3DD485F9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4F7F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979E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73F9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FF43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F9238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</w:tr>
      <w:tr w:rsidR="00FC6662" w14:paraId="0D0C4136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4877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C8F5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ПУБЛIЧНОГО АКЦIОНЕРНОГО ТОВАРИСТВА "НАУКОВО-ВИРОБНИЧИЙ ЦЕНТР "БОРЩАГIВСЬКИЙ ХIМIКО-ФАРМАЦЕВТИЧНИЙ ЗАВОД" В РЕСПУБЛIЦI МОЛДОВА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379D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5C4E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Молдова, Республіка, MD-20, м.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Кишинiв</w:t>
            </w:r>
            <w:proofErr w:type="spellEnd"/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00D58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Представництва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Республiцi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Молдова - тимчасово призупинена</w:t>
            </w:r>
          </w:p>
        </w:tc>
      </w:tr>
      <w:tr w:rsidR="00FC6662" w14:paraId="6A407ECE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E6BB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62C2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ПУБЛIЧНОГО АКЦIОНЕРНОГО ТОВАРИСТВА "НАУКОВО-ВИРОБНИЧИЙ ЦЕНТР "БОРЩАГIВСЬКИЙ ХIМIКО-ФАРМАЦЕВТИЧНИЙ ЗАВОД" В РЕСПУБЛIЦI КАЗАХСТАН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9DA79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F0DC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Казахстан, 05006, м. Алмати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41540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Республiцi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Казахстан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пiдвищення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ефективностi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торгiвельно-економiчних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зв'язкiв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просування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продукцiї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виробництва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 на ринку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Республiцi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Казахстан</w:t>
            </w:r>
          </w:p>
        </w:tc>
      </w:tr>
      <w:tr w:rsidR="00FC6662" w14:paraId="78B82659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D99E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4F59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ПУБЛIЧНОГО АКЦIОНЕРНОГО ТОВАРИСТВА "НАУКОВО-ВИРОБНИЧИЙ ЦЕНТР "БОРЩАГIВСЬКИЙ ХIМIКО-ФАРМАЦЕВТИЧНИЙ ЗАВОД" В РЕСПУБЛIЦI УЗБЕКИСТАН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DE20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4969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Узбекистан, 10007, м. Ташкент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C1B7E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Республiцi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Узбекистанi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пiдвищення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ефективностi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торгiвельно-економiчних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зв'язкiв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просування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продукцiї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виробництва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 на ринку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Республiки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Узбекистан</w:t>
            </w:r>
          </w:p>
        </w:tc>
      </w:tr>
      <w:tr w:rsidR="00FC6662" w14:paraId="46993A5A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42EF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9FB9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ПУБЛIЧНОГО АКЦIОНЕРНОГО ТОВАРИСТВА "НАУКОВО-ВИРОБНИЧИЙ ЦЕНТР "БОРЩАГIВСЬКИЙ ХIМIКО-ФАРМАЦЕВТИЧНИЙ ЗАВОД" У ХАНОЇ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69FF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45A6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В'єтнам, м. Ханой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9C91F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Представництва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у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Соцiалiстичнiй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Республiцi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В'єтнам (м. Ханой) - тимчасово призупинена</w:t>
            </w:r>
          </w:p>
        </w:tc>
      </w:tr>
    </w:tbl>
    <w:p w14:paraId="7F60654F" w14:textId="0B492C5B" w:rsidR="00CB55FC" w:rsidRDefault="00CB5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11375D41" w14:textId="77777777" w:rsidR="00CB55FC" w:rsidRDefault="00CB55FC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br w:type="page"/>
      </w:r>
    </w:p>
    <w:p w14:paraId="301B8701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II. Інформація щодо капіталу та цінних паперів</w:t>
      </w:r>
    </w:p>
    <w:p w14:paraId="2B16FC38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Цінні папери</w:t>
      </w:r>
    </w:p>
    <w:p w14:paraId="2BD6B56E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випуски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50"/>
        <w:gridCol w:w="2400"/>
        <w:gridCol w:w="1700"/>
        <w:gridCol w:w="1600"/>
        <w:gridCol w:w="1350"/>
        <w:gridCol w:w="1450"/>
        <w:gridCol w:w="1200"/>
        <w:gridCol w:w="1400"/>
        <w:gridCol w:w="1700"/>
      </w:tblGrid>
      <w:tr w:rsidR="00FC6662" w14:paraId="753A9F2A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B029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E6B1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E1E5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F3ED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B416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цінного папера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A0C2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Форма існування та форма випуску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0086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057E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8062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A05DC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Частка у статутному капіталі (у відсотках)</w:t>
            </w:r>
          </w:p>
        </w:tc>
      </w:tr>
      <w:tr w:rsidR="00FC6662" w14:paraId="435866CE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9027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0AB4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8B6E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CFD5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04C3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8069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17BF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D738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679E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DF8E0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FC6662" w14:paraId="539A7824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CB28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03.02.2011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96F4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64/10/1/11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FFF1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AFE7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UA4000137228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FCEA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A15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2159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1 839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32849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10 351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D379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19 035 489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6B334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FC6662" w14:paraId="55697694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DF0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1B3913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здiйснювалася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На </w:t>
            </w:r>
            <w:proofErr w:type="spellStart"/>
            <w:r>
              <w:rPr>
                <w:rFonts w:ascii="Times New Roman CYR" w:hAnsi="Times New Roman CYR" w:cs="Times New Roman CYR"/>
              </w:rPr>
              <w:t>неорганiзованому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ринку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вiдбувалася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/ скасування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регульованому фондовому ринку не було. Додаткової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було.</w:t>
            </w:r>
          </w:p>
        </w:tc>
      </w:tr>
    </w:tbl>
    <w:p w14:paraId="49F6DC17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E662D68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Уточнення щодо наявності обмежень за акціями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0"/>
        <w:gridCol w:w="3850"/>
        <w:gridCol w:w="3850"/>
        <w:gridCol w:w="3850"/>
      </w:tblGrid>
      <w:tr w:rsidR="00FC6662" w14:paraId="3DB910C4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8BA7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605E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 (з них голосуючих), шт.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C476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викуплених акцій (кількість акцій прирівняних до викуплених), шт.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2B286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інших не голосуючих акцій, шт.</w:t>
            </w:r>
          </w:p>
        </w:tc>
      </w:tr>
      <w:tr w:rsidR="00FC6662" w14:paraId="6AB5BC75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50EE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8F29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F08F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6870A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FC6662" w14:paraId="1A639422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E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UA4000137228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665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10351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004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B7C09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</w:tr>
    </w:tbl>
    <w:p w14:paraId="79368FD3" w14:textId="77777777" w:rsidR="00B03497" w:rsidRDefault="00B03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D3889B0" w14:textId="77777777" w:rsidR="00FC6662" w:rsidRDefault="00B03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</w:rPr>
        <w:br w:type="page"/>
      </w:r>
      <w:r w:rsidR="00E27C44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будь-які обмеження щодо обігу цінних паперів особи, в тому числі необхідність отримання від особи або інших власників цінних паперів згоди на відчуження таких цінних паперів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1761"/>
        <w:gridCol w:w="1559"/>
        <w:gridCol w:w="1730"/>
        <w:gridCol w:w="2000"/>
        <w:gridCol w:w="4491"/>
        <w:gridCol w:w="2400"/>
        <w:gridCol w:w="37"/>
      </w:tblGrid>
      <w:tr w:rsidR="00FC6662" w14:paraId="1A63C90A" w14:textId="77777777" w:rsidTr="00B03497">
        <w:trPr>
          <w:gridAfter w:val="1"/>
          <w:wAfter w:w="37" w:type="dxa"/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6FE7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випуску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D6A7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ADA8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цінних паперів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F6CA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902B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наклав обмеження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8EB9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Характеристика обмеження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93990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Строк обмеження</w:t>
            </w:r>
          </w:p>
        </w:tc>
      </w:tr>
      <w:tr w:rsidR="00FC6662" w14:paraId="227D4E73" w14:textId="77777777" w:rsidTr="00B03497">
        <w:trPr>
          <w:gridAfter w:val="1"/>
          <w:wAfter w:w="37" w:type="dxa"/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4506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CB1F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34B6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1C14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1C16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54DC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A4CDF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</w:tr>
      <w:tr w:rsidR="00FC6662" w14:paraId="7E1555E1" w14:textId="77777777" w:rsidTr="00B03497">
        <w:trPr>
          <w:gridAfter w:val="1"/>
          <w:wAfter w:w="37" w:type="dxa"/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7589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03.02.2011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3EE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A1B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322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UA4000137228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D1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Закон України "Про депозитарну систему України"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5FBC9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вимог пункту 10 </w:t>
            </w:r>
            <w:proofErr w:type="spellStart"/>
            <w:r>
              <w:rPr>
                <w:rFonts w:ascii="Times New Roman CYR" w:hAnsi="Times New Roman CYR" w:cs="Times New Roman CYR"/>
              </w:rPr>
              <w:t>роздiлу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VI Закону України "Про депозитарну систему України" у </w:t>
            </w:r>
            <w:proofErr w:type="spellStart"/>
            <w:r>
              <w:rPr>
                <w:rFonts w:ascii="Times New Roman CYR" w:hAnsi="Times New Roman CYR" w:cs="Times New Roman CYR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якщо власник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1 липня 2024 року не уклав з депозитарною установою, обраною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договiр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обслуговування рахунку в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паперах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власного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або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здiйснив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переказ належних йому прав на </w:t>
            </w:r>
            <w:proofErr w:type="spellStart"/>
            <w:r>
              <w:rPr>
                <w:rFonts w:ascii="Times New Roman CYR" w:hAnsi="Times New Roman CYR" w:cs="Times New Roman CYR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папери на </w:t>
            </w:r>
            <w:proofErr w:type="spellStart"/>
            <w:r>
              <w:rPr>
                <w:rFonts w:ascii="Times New Roman CYR" w:hAnsi="Times New Roman CYR" w:cs="Times New Roman CYR"/>
              </w:rPr>
              <w:t>свiй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рахунок 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паперах, </w:t>
            </w:r>
            <w:proofErr w:type="spellStart"/>
            <w:r>
              <w:rPr>
                <w:rFonts w:ascii="Times New Roman CYR" w:hAnsi="Times New Roman CYR" w:cs="Times New Roman CYR"/>
              </w:rPr>
              <w:t>вiдкритий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iншiй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установi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тимчасово, до виконання вимог цього абзацу, </w:t>
            </w:r>
            <w:proofErr w:type="spellStart"/>
            <w:r>
              <w:rPr>
                <w:rFonts w:ascii="Times New Roman CYR" w:hAnsi="Times New Roman CYR" w:cs="Times New Roman CYR"/>
              </w:rPr>
              <w:t>такi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папери не надають їх власнику жодних прав за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паперами.</w:t>
            </w:r>
          </w:p>
          <w:p w14:paraId="23B9173A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0EBCD14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Кiлькiсть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таким обмеженням 5.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B670E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 укладення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договору з депозитарною установою про обслуговування рахунку в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паперах.</w:t>
            </w:r>
          </w:p>
        </w:tc>
      </w:tr>
      <w:tr w:rsidR="00FC6662" w14:paraId="3F27BE18" w14:textId="77777777" w:rsidTr="00B0349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C998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EB2644" w14:textId="77777777" w:rsidR="00FC6662" w:rsidRDefault="00FC6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</w:tbl>
    <w:p w14:paraId="72B46BD1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E992D9C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загальну кількість голосуючих акцій та кількість голосуючих акцій, права голосу за якими обмежено, а також кількість голосуючих акцій, права голосу за якими за результатами обмеження таких прав передано іншій особі</w:t>
      </w:r>
    </w:p>
    <w:tbl>
      <w:tblPr>
        <w:tblW w:w="154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1740"/>
        <w:gridCol w:w="1417"/>
        <w:gridCol w:w="1943"/>
        <w:gridCol w:w="2800"/>
      </w:tblGrid>
      <w:tr w:rsidR="00FC6662" w14:paraId="454DA25A" w14:textId="77777777" w:rsidTr="00CB55FC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776B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30BE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D3FB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2275F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 у випуску, шт.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D43D2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FC71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кількість голосуючих акцій, шт.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5F4E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обмежено, шт.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E2290C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за результатами обмеження таких прав передано іншій особі, шт.</w:t>
            </w:r>
          </w:p>
        </w:tc>
      </w:tr>
      <w:tr w:rsidR="00FC6662" w14:paraId="4B0D1047" w14:textId="77777777" w:rsidTr="00CB55FC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A2D3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64F2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69A40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86D6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AE92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069D8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95F1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C26E4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FC6662" w14:paraId="2CF30F63" w14:textId="77777777" w:rsidTr="00CB55FC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4B1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03.02.2011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55EB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64/10/1/11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0ACA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UA4000137228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A8F1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10 351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C2347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19 035 489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25334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10 346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EC7D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751D55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FC6662" w14:paraId="129CD5A1" w14:textId="77777777" w:rsidTr="00CB55FC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203B6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75202D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Cтрок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обмеження: -</w:t>
            </w:r>
          </w:p>
          <w:p w14:paraId="1D604DFE" w14:textId="77777777" w:rsidR="00FC6662" w:rsidRDefault="00E2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Характеристика обмеження: Обмеження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</w:t>
            </w:r>
            <w:proofErr w:type="spellEnd"/>
          </w:p>
        </w:tc>
      </w:tr>
    </w:tbl>
    <w:p w14:paraId="25BC387D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0CFD353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FC6662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7FEAEEAA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III. Фінансова інформація</w:t>
      </w:r>
    </w:p>
    <w:p w14:paraId="72D2F5F4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Проміжна фінансова звітність</w:t>
      </w:r>
    </w:p>
    <w:p w14:paraId="223277C5" w14:textId="77777777" w:rsidR="00B03497" w:rsidRDefault="00B03497" w:rsidP="00B03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таксономiї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машинозчитувальному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форматi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накладенням електронних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пiдписiв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базуються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квалiфiкованих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сертифiкатах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вiдкритих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ключi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https://bcpp.com.ua/shareholders</w:t>
      </w:r>
    </w:p>
    <w:p w14:paraId="05298A3A" w14:textId="77777777" w:rsidR="00B03497" w:rsidRDefault="00B03497" w:rsidP="00B03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Посилання на пряме завантаження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архiву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 https://bcpp.com.ua/files/protocol/zvit_2024/III/3q2024_23518596.zip</w:t>
      </w:r>
    </w:p>
    <w:p w14:paraId="25A87564" w14:textId="77777777" w:rsidR="00B03497" w:rsidRDefault="00B03497" w:rsidP="00B03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Iм'я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файлу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архiву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  3q2024_23518596.zip</w:t>
      </w:r>
    </w:p>
    <w:p w14:paraId="4AAC3826" w14:textId="77777777" w:rsidR="00B03497" w:rsidRDefault="00B03497" w:rsidP="00B03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файлу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архiву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51,4 КБ (52 727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байтiв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4BF2D3D5" w14:textId="77777777" w:rsidR="00B03497" w:rsidRDefault="00B03497" w:rsidP="00B03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SHA256 контрольна сума: </w:t>
      </w:r>
    </w:p>
    <w:p w14:paraId="3DB57DE7" w14:textId="77777777" w:rsidR="00B03497" w:rsidRDefault="00B03497" w:rsidP="00B03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9ADBF1E924154194F68F073C09C48B6D2903BE4FD1F25F0C4776D241B53A2939</w:t>
      </w:r>
    </w:p>
    <w:p w14:paraId="76ABD37E" w14:textId="77777777" w:rsidR="00B03497" w:rsidRDefault="00B03497" w:rsidP="00B03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таксономiї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машинозчитувальному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форматi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накладенням електронних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пiдписiв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базуються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квалiфiкованих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сертифiкатах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вiдкритих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ключi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https://portal.frs.gov.ua/PublicData/PublicDataSubmissionPack.aspx?submission_pack_version_id=147661</w:t>
      </w:r>
    </w:p>
    <w:p w14:paraId="38DD7B0A" w14:textId="77777777" w:rsidR="00B03497" w:rsidRDefault="00B03497" w:rsidP="00B03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Iм'я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файлу  3q2024_23518596.html</w:t>
      </w:r>
    </w:p>
    <w:p w14:paraId="23C608A0" w14:textId="77777777" w:rsidR="00B03497" w:rsidRDefault="00B03497" w:rsidP="00B03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файлу 306 КБ (314 333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байтiв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7F459B5E" w14:textId="77777777" w:rsidR="00B03497" w:rsidRDefault="00B03497" w:rsidP="00B03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SHA256 контрольна сума: </w:t>
      </w:r>
    </w:p>
    <w:p w14:paraId="2C665CA9" w14:textId="77777777" w:rsidR="00B03497" w:rsidRDefault="00B03497" w:rsidP="00B03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92478ED6209BAE977C1951A04521BC0FB7E4063446A4B862198CBCA3C5390EA4</w:t>
      </w:r>
    </w:p>
    <w:p w14:paraId="6DFD8E71" w14:textId="77777777" w:rsidR="00B03497" w:rsidRDefault="00B03497" w:rsidP="00B03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34E7718" w14:textId="77777777" w:rsidR="00B03497" w:rsidRDefault="00B03497" w:rsidP="00B03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Консолiдована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таксономiї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машинозчитувальному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форматi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накладенням електронних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пiдписiв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базуються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квалiфiкованих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сертифiкатах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вiдкритих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ключi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https://bcpp.com.ua/shareholders</w:t>
      </w:r>
    </w:p>
    <w:p w14:paraId="643B98E0" w14:textId="77777777" w:rsidR="00B03497" w:rsidRDefault="00B03497" w:rsidP="00B03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Посилання на пряме завантаження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архiву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 https://bcpp.com.ua/files/protocol/zvit_2024/III/3q2024_23518596%20cons.zip</w:t>
      </w:r>
    </w:p>
    <w:p w14:paraId="5D64BC50" w14:textId="77777777" w:rsidR="00B03497" w:rsidRDefault="00B03497" w:rsidP="00B03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Iм'я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файлу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архiву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  3q2024_23518596 cons.zip</w:t>
      </w:r>
    </w:p>
    <w:p w14:paraId="7C993B53" w14:textId="77777777" w:rsidR="00B03497" w:rsidRDefault="00B03497" w:rsidP="00B03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файлу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архiву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 59,5 КБ (60 988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байтiв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1D85DF6F" w14:textId="77777777" w:rsidR="00B03497" w:rsidRDefault="00B03497" w:rsidP="00B03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SHA256 контрольна сума: </w:t>
      </w:r>
    </w:p>
    <w:p w14:paraId="33D9579A" w14:textId="77777777" w:rsidR="00B03497" w:rsidRDefault="00B03497" w:rsidP="00B03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909779C103F0204239470782B808306DF41907E24EE2195B3EA1628824263B69</w:t>
      </w:r>
    </w:p>
    <w:p w14:paraId="34028437" w14:textId="77777777" w:rsidR="00B03497" w:rsidRDefault="00B03497" w:rsidP="00B03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Консолiдована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таксономiї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машинозчитувальному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форматi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накладенням електронних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пiдписiв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базуються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квалiфiкованих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сертифiкатах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вiдкритих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ключi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https://portal.frs.gov.ua/PublicData/PublicDataSubmissionPack.aspx?submission_pack_version_id=160444</w:t>
      </w:r>
    </w:p>
    <w:p w14:paraId="5F970094" w14:textId="77777777" w:rsidR="00B03497" w:rsidRDefault="00B03497" w:rsidP="00B03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Iм'я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файлу  3q2024_23518596.html</w:t>
      </w:r>
    </w:p>
    <w:p w14:paraId="3EFE1C5C" w14:textId="77777777" w:rsidR="00B03497" w:rsidRDefault="00B03497" w:rsidP="00B03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файлу 340 КБ (348 757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байтiв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3592D328" w14:textId="77777777" w:rsidR="00B03497" w:rsidRDefault="00B03497" w:rsidP="00B03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SHA256 контрольна сума: </w:t>
      </w:r>
    </w:p>
    <w:p w14:paraId="5CBB8849" w14:textId="77777777" w:rsidR="00B03497" w:rsidRDefault="00B03497" w:rsidP="00B03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BC53927785B777E30B91B99FB32C104EEB2198E9FDE02641F93D7826EFDC912D</w:t>
      </w:r>
    </w:p>
    <w:p w14:paraId="216841CC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7B0EA74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Твердження щодо проміжної інформації</w:t>
      </w:r>
    </w:p>
    <w:p w14:paraId="191F3896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за 3-й квартал 2024 року,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закiнчився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30 вересня 2024 року,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пiдготовлена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бухгалтерського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передбачених Законом України "Про бухгалтерський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об'єктивну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пасивiв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стан, прибутки та збитки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перебувають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контролем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рамках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консолiдованої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включає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об'єктивне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важливих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вiдбулися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упродовж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їх вплив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опис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DCAA12A" w14:textId="0B1A78D4" w:rsidR="00CB55FC" w:rsidRDefault="00CB55FC">
      <w:pPr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14:paraId="4195BDD2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IV. Нефінансова інформація</w:t>
      </w:r>
    </w:p>
    <w:p w14:paraId="289FFAE8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Проміжний звіт керівництва</w:t>
      </w:r>
    </w:p>
    <w:p w14:paraId="1C69530D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від голови ради особи</w:t>
      </w:r>
    </w:p>
    <w:p w14:paraId="0FA3D91E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Вiдсутнє</w:t>
      </w:r>
      <w:proofErr w:type="spellEnd"/>
    </w:p>
    <w:p w14:paraId="1BCCFAA4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1B81589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від керівника особи</w:t>
      </w:r>
    </w:p>
    <w:p w14:paraId="2E1EE5D6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Вiдсутнє</w:t>
      </w:r>
      <w:proofErr w:type="spellEnd"/>
    </w:p>
    <w:p w14:paraId="72641E01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5DFEF59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Вказівки на важливі події, що відбулися упродовж звітного періоду, та їх вплив на проміжну фінансову звітність, а також опис основних ризиків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діяльності особи</w:t>
      </w:r>
    </w:p>
    <w:p w14:paraId="7AEDDADB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Важливих для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впродовж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(3 квартал 2024 р.)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вiдбувалося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їх вплив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1F2063D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зобов'язань,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витрат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 мали  вплив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CE5FD3F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мали суттєвий вплив на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становище. Зокрема,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вiдбувалося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об'єднання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припинення або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припинення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придбання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прийняття судових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6E311E5E" w14:textId="77777777" w:rsidR="00FC6662" w:rsidRDefault="00FC6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D66FD19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Опис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23089927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Українське законодавство 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акти, що регулюють сферу оподаткування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аспекти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включаючи валютний контроль i митне законодавство, продовжують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змiнюватися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Положення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нормативних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зазвичай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нечiткими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i трактуються по-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рiзному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регiональними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й державними органами,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урядовими установами. Випадки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розбiжностей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трактуваннi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законодавства є непоодинокими. </w:t>
      </w:r>
    </w:p>
    <w:p w14:paraId="1BE82465" w14:textId="77777777" w:rsidR="00FC6662" w:rsidRDefault="00E27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 у зв'язку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рiзними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методологiчними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трансфертного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цiноутворення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широкої судової практики,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ризики застосування українськими податковими органами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пов'язаних з трансфертним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цiноутворенням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контрольованих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 з придбання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послуг.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Потенцiйна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сума додаткових податкових зобов'язань не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надiйно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ризики можуть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7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дати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податку на прибуток. </w:t>
      </w:r>
    </w:p>
    <w:p w14:paraId="33C8E526" w14:textId="77777777" w:rsidR="00E27C44" w:rsidRDefault="00E27C44" w:rsidP="00B03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вважає,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законодавства, що регулює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що Група нарахувала та сплатила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податки та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серйознi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аргументи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успiшного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захисту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претензiй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податкових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Однак не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впевненостi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тому,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податковi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органи не матимуть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думки щодо виконання Групою вимог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iснуючого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податкового законодавства.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 не створювало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резервiв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донарахування податкових зобов'язань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вважає,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вiдтiк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вигiд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врегулювання таких податкових зобов'язань можливий, але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малоймовiрним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sectPr w:rsidR="00E27C44" w:rsidSect="00BB1646">
      <w:pgSz w:w="12240" w:h="15840"/>
      <w:pgMar w:top="570" w:right="720" w:bottom="570" w:left="720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656BA" w14:textId="77777777" w:rsidR="009A4E54" w:rsidRDefault="009A4E54" w:rsidP="00CB55FC">
      <w:pPr>
        <w:spacing w:after="0" w:line="240" w:lineRule="auto"/>
      </w:pPr>
      <w:r>
        <w:separator/>
      </w:r>
    </w:p>
  </w:endnote>
  <w:endnote w:type="continuationSeparator" w:id="0">
    <w:p w14:paraId="2DE9428E" w14:textId="77777777" w:rsidR="009A4E54" w:rsidRDefault="009A4E54" w:rsidP="00CB5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4168115"/>
      <w:docPartObj>
        <w:docPartGallery w:val="Page Numbers (Bottom of Page)"/>
        <w:docPartUnique/>
      </w:docPartObj>
    </w:sdtPr>
    <w:sdtEndPr/>
    <w:sdtContent>
      <w:p w14:paraId="3ED6B3CC" w14:textId="52BAB8A1" w:rsidR="00CB55FC" w:rsidRDefault="00CB55F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A0878F" w14:textId="77777777" w:rsidR="00CB55FC" w:rsidRDefault="00CB55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9FAC6" w14:textId="77777777" w:rsidR="009A4E54" w:rsidRDefault="009A4E54" w:rsidP="00CB55FC">
      <w:pPr>
        <w:spacing w:after="0" w:line="240" w:lineRule="auto"/>
      </w:pPr>
      <w:r>
        <w:separator/>
      </w:r>
    </w:p>
  </w:footnote>
  <w:footnote w:type="continuationSeparator" w:id="0">
    <w:p w14:paraId="77CB1EC8" w14:textId="77777777" w:rsidR="009A4E54" w:rsidRDefault="009A4E54" w:rsidP="00CB55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AA"/>
    <w:rsid w:val="00055A19"/>
    <w:rsid w:val="00061C4F"/>
    <w:rsid w:val="000A2779"/>
    <w:rsid w:val="00146D1E"/>
    <w:rsid w:val="002A21C3"/>
    <w:rsid w:val="002B0F4A"/>
    <w:rsid w:val="0030411B"/>
    <w:rsid w:val="0033645C"/>
    <w:rsid w:val="004C0186"/>
    <w:rsid w:val="00554BE0"/>
    <w:rsid w:val="0079129A"/>
    <w:rsid w:val="007B7FA3"/>
    <w:rsid w:val="00935C51"/>
    <w:rsid w:val="00942691"/>
    <w:rsid w:val="009A4E54"/>
    <w:rsid w:val="00A85690"/>
    <w:rsid w:val="00B03497"/>
    <w:rsid w:val="00B919D0"/>
    <w:rsid w:val="00BB1646"/>
    <w:rsid w:val="00BC64AA"/>
    <w:rsid w:val="00BE1668"/>
    <w:rsid w:val="00BE36E6"/>
    <w:rsid w:val="00C671B1"/>
    <w:rsid w:val="00CB55FC"/>
    <w:rsid w:val="00E27C44"/>
    <w:rsid w:val="00FC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8368DA"/>
  <w15:docId w15:val="{FCFAECAD-2BB4-4A27-9424-67BDD21D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5F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55FC"/>
  </w:style>
  <w:style w:type="paragraph" w:styleId="a5">
    <w:name w:val="footer"/>
    <w:basedOn w:val="a"/>
    <w:link w:val="a6"/>
    <w:uiPriority w:val="99"/>
    <w:unhideWhenUsed/>
    <w:rsid w:val="00CB55F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5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2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FE559-56F3-4E65-ACA6-E00D4E55F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51126</Words>
  <Characters>29143</Characters>
  <Application>Microsoft Office Word</Application>
  <DocSecurity>0</DocSecurity>
  <Lines>242</Lines>
  <Paragraphs>160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Darmenko</dc:creator>
  <cp:keywords/>
  <dc:description/>
  <cp:lastModifiedBy>Elena Darmenko</cp:lastModifiedBy>
  <cp:revision>2</cp:revision>
  <cp:lastPrinted>2025-12-17T13:35:00Z</cp:lastPrinted>
  <dcterms:created xsi:type="dcterms:W3CDTF">2025-12-18T10:06:00Z</dcterms:created>
  <dcterms:modified xsi:type="dcterms:W3CDTF">2025-12-18T10:06:00Z</dcterms:modified>
</cp:coreProperties>
</file>