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5AB9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34F5536F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502612" w:rsidRPr="000D2634" w14:paraId="73250A4D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28E9633" w14:textId="0FE82F69" w:rsidR="00502612" w:rsidRPr="000D2634" w:rsidRDefault="000D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0D263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18.12.2025</w:t>
            </w:r>
          </w:p>
        </w:tc>
      </w:tr>
      <w:tr w:rsidR="00502612" w:rsidRPr="000D2634" w14:paraId="4B7B0857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91BC3" w14:textId="77777777" w:rsidR="00502612" w:rsidRPr="000D2634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2634"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502612" w:rsidRPr="000D2634" w14:paraId="5EAF83F1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FBDF3A" w14:textId="24D92C1C" w:rsidR="00502612" w:rsidRPr="000D2634" w:rsidRDefault="000D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0D263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55</w:t>
            </w:r>
          </w:p>
        </w:tc>
      </w:tr>
      <w:tr w:rsidR="00502612" w14:paraId="6CB1FA5B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5A685" w14:textId="77777777" w:rsidR="00502612" w:rsidRPr="000D2634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2634"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02DE5E30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502612" w14:paraId="72598F06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004E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70D0E059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502612" w14:paraId="25EC888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83BAA4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3FF0CB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980D3E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640DCE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67CB3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Мандзюк Є.С.</w:t>
            </w:r>
          </w:p>
        </w:tc>
      </w:tr>
      <w:tr w:rsidR="00502612" w14:paraId="61106154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E3F553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EB46668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9C99EB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DB9545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0FA65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4C72AF9A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6C789D9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 звіт</w:t>
      </w:r>
    </w:p>
    <w:p w14:paraId="1000410C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Публiчне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"Науково-виробничий центр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хiмiко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-фармацевтичний завод" (23518596)</w:t>
      </w:r>
    </w:p>
    <w:p w14:paraId="74CC1C7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 квартал 2024 року</w:t>
      </w:r>
    </w:p>
    <w:p w14:paraId="556CB00F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5AB1D8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проміжного звіту: , </w:t>
      </w:r>
    </w:p>
    <w:p w14:paraId="50984AA3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DR/00001/APA</w:t>
      </w:r>
    </w:p>
    <w:p w14:paraId="7D742873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6C40D0CA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D96CFE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502612" w14:paraId="50E15B36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B2371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Проміжну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8F76DD3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3D322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http://bcpp.com.ua/shareholders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1BA2810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9FA748" w14:textId="1B0730A1" w:rsidR="00502612" w:rsidRPr="000D2634" w:rsidRDefault="000D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18.12.2025</w:t>
            </w:r>
          </w:p>
        </w:tc>
      </w:tr>
      <w:tr w:rsidR="00502612" w14:paraId="14A2D4CF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5003B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396BA90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00C2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35E952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CA50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2634"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45CABA94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502612">
          <w:footerReference w:type="default" r:id="rId7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D648E2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65ADD4C4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затверджувався, тому що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документах Товариства немає вимоги затверджувати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такої вимоги.</w:t>
      </w:r>
    </w:p>
    <w:p w14:paraId="58C84D4D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174A649B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025BC9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тому що корпоративний секретар не обирався.</w:t>
      </w:r>
    </w:p>
    <w:p w14:paraId="218800D1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9420BF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B942E3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5847CFE9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00087E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A52A45C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784E6A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650F0D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немає.</w:t>
      </w:r>
    </w:p>
    <w:p w14:paraId="00FF37B3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перевiрялася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A087690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вчинялися.</w:t>
      </w:r>
    </w:p>
    <w:p w14:paraId="11B9566C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кожним суб'єктом забезпечення окремо)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випуск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E351F97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10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 </w:t>
      </w:r>
    </w:p>
    <w:p w14:paraId="270999BB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1997 року засновниками Товариства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718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65B656A" w14:textId="77777777" w:rsidR="00502612" w:rsidRDefault="009F6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6B4E5C1C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38309EC0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проміжного звіту</w:t>
      </w:r>
    </w:p>
    <w:p w14:paraId="346D62E8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I. Загальна інформація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4</w:t>
      </w:r>
    </w:p>
    <w:p w14:paraId="6378277C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4</w:t>
      </w:r>
    </w:p>
    <w:p w14:paraId="138FABA6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7</w:t>
      </w:r>
    </w:p>
    <w:p w14:paraId="09B8AC7D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3. Структура власності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11</w:t>
      </w:r>
    </w:p>
    <w:p w14:paraId="0CBDFF32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11</w:t>
      </w:r>
    </w:p>
    <w:p w14:paraId="6FF3D516" w14:textId="58F228C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5. Участь в інших особах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29</w:t>
      </w:r>
    </w:p>
    <w:p w14:paraId="7842A879" w14:textId="47E2EA12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6. Відокремлені підрозділи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30</w:t>
      </w:r>
    </w:p>
    <w:p w14:paraId="304610FC" w14:textId="4D2CE8A2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II. Інформація щодо капіталу та цінних паперів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31</w:t>
      </w:r>
    </w:p>
    <w:p w14:paraId="0B066419" w14:textId="5294D879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. Цінні папери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31</w:t>
      </w:r>
    </w:p>
    <w:p w14:paraId="0F3AD0AD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 xml:space="preserve">III. Фінансова інформація 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5E643C29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r w:rsidRPr="00896387">
        <w:rPr>
          <w:rFonts w:ascii="Times New Roman CYR" w:eastAsia="Times New Roman" w:hAnsi="Times New Roman CYR" w:cs="Times New Roman CYR"/>
          <w:sz w:val="24"/>
          <w:szCs w:val="24"/>
        </w:rPr>
        <w:t>Проміжна фінансова звітність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4664DD64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r w:rsidRPr="00896387">
        <w:rPr>
          <w:rFonts w:ascii="Times New Roman CYR" w:eastAsia="Times New Roman" w:hAnsi="Times New Roman CYR" w:cs="Times New Roman CYR"/>
          <w:sz w:val="24"/>
          <w:szCs w:val="24"/>
        </w:rPr>
        <w:t>Твердження щодо проміжної інформації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268E1FC5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IV. Нефінансова інформація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35</w:t>
      </w:r>
    </w:p>
    <w:p w14:paraId="35658542" w14:textId="77777777" w:rsidR="00650EC8" w:rsidRPr="00302371" w:rsidRDefault="00650EC8" w:rsidP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896387">
        <w:rPr>
          <w:rFonts w:ascii="Times New Roman CYR" w:eastAsia="Times New Roman" w:hAnsi="Times New Roman CYR" w:cs="Times New Roman CYR"/>
          <w:sz w:val="24"/>
          <w:szCs w:val="24"/>
        </w:rPr>
        <w:t>1. Проміжний звіт керівництва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35</w:t>
      </w:r>
    </w:p>
    <w:p w14:paraId="69FBF1E4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7B945E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50261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CF79A22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41E10F33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502612" w14:paraId="773B86A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FED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DD8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F8EA2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-фармацевтичний завод"</w:t>
            </w:r>
          </w:p>
        </w:tc>
      </w:tr>
      <w:tr w:rsidR="00502612" w14:paraId="72E881F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70A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1CA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48A4D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ПАТ НВЦ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ХФЗ"</w:t>
            </w:r>
          </w:p>
        </w:tc>
      </w:tr>
      <w:tr w:rsidR="00502612" w14:paraId="7647103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44B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D65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0671C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23518596</w:t>
            </w:r>
          </w:p>
        </w:tc>
      </w:tr>
      <w:tr w:rsidR="00502612" w14:paraId="1576DFB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028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AD0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52403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07.05.1997</w:t>
            </w:r>
          </w:p>
        </w:tc>
      </w:tr>
      <w:tr w:rsidR="00502612" w14:paraId="42C1C4C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515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858B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604EF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03134,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Миру, 17</w:t>
            </w:r>
          </w:p>
        </w:tc>
      </w:tr>
      <w:tr w:rsidR="00502612" w14:paraId="63A3E42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D8F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2103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4F190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02612" w14:paraId="517BDFD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608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88D1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386D1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20BEC44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502612" w14:paraId="5FDF95F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6CFA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8713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3C0C0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08A5E8C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502612" w14:paraId="46AD9DD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8509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650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97C1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3AE2CDA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29F76B1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13D3FD6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502612" w14:paraId="4A6AFA7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A5F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B7B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4AAA1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bhfz@bhfz.com.ua</w:t>
            </w:r>
          </w:p>
        </w:tc>
      </w:tr>
      <w:tr w:rsidR="00502612" w14:paraId="236A159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41C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6E7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95A86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</w:t>
            </w:r>
          </w:p>
        </w:tc>
      </w:tr>
      <w:tr w:rsidR="00502612" w14:paraId="2DF489D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099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8D2B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D9007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205-03-10</w:t>
            </w:r>
          </w:p>
        </w:tc>
      </w:tr>
      <w:tr w:rsidR="00502612" w14:paraId="658F07D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9D9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F1CB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FE87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19035489</w:t>
            </w:r>
          </w:p>
        </w:tc>
      </w:tr>
      <w:tr w:rsidR="00502612" w14:paraId="5EE2306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D677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840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C07F5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502612" w14:paraId="3E8A8E6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7CCA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692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85DD6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502612" w14:paraId="2679B0E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002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09FE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C227B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658</w:t>
            </w:r>
          </w:p>
        </w:tc>
      </w:tr>
      <w:tr w:rsidR="00502612" w14:paraId="794D2C9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749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D90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2AF97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21.20 - 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матерiалiв</w:t>
            </w:r>
            <w:proofErr w:type="spellEnd"/>
          </w:p>
          <w:p w14:paraId="53B2651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46.46 -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</w:t>
            </w:r>
          </w:p>
          <w:p w14:paraId="7DDBEE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47.73 -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магазинах</w:t>
            </w:r>
          </w:p>
        </w:tc>
      </w:tr>
      <w:tr w:rsidR="00502612" w14:paraId="4154863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24A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CF01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A47EA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7B9A7DC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70D89B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є:</w:t>
            </w:r>
          </w:p>
          <w:p w14:paraId="40C05AF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2E6FC16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рада;</w:t>
            </w:r>
          </w:p>
          <w:p w14:paraId="105C55C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Генеральний директор.</w:t>
            </w:r>
          </w:p>
        </w:tc>
      </w:tr>
    </w:tbl>
    <w:p w14:paraId="62ACF524" w14:textId="77777777" w:rsidR="009F6DB0" w:rsidRDefault="009F6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456323" w14:textId="77777777" w:rsidR="00502612" w:rsidRDefault="009F6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20F8EF43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500"/>
        <w:gridCol w:w="6465"/>
      </w:tblGrid>
      <w:tr w:rsidR="00AE10CF" w:rsidRPr="00AE10CF" w14:paraId="10A5BE92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3B358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42125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84AAE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"РАЙФФАЙЗЕН БАНК"</w:t>
            </w:r>
          </w:p>
        </w:tc>
      </w:tr>
      <w:tr w:rsidR="00AE10CF" w:rsidRPr="00AE10CF" w14:paraId="5BE77E21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93D9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0B722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E823F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14305909</w:t>
            </w:r>
          </w:p>
        </w:tc>
      </w:tr>
      <w:tr w:rsidR="00AE10CF" w:rsidRPr="00AE10CF" w14:paraId="6BB47813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EB09F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AAE89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69163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UA833003350000000026004225462</w:t>
            </w:r>
          </w:p>
        </w:tc>
      </w:tr>
      <w:tr w:rsidR="00AE10CF" w:rsidRPr="00AE10CF" w14:paraId="4EEFE949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6D83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8F0C4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94F32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AE10CF" w:rsidRPr="00AE10CF" w14:paraId="78A01D9D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5713B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5CADC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43F60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"ДЕРЖАВНИЙ ЕКСПОРТНО-IМПОРТНИЙ БАНК УКРАЇНИ"</w:t>
            </w:r>
          </w:p>
        </w:tc>
      </w:tr>
      <w:tr w:rsidR="00AE10CF" w:rsidRPr="00AE10CF" w14:paraId="252619B4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04C6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CF9C4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6CC3D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00032112</w:t>
            </w:r>
          </w:p>
        </w:tc>
      </w:tr>
      <w:tr w:rsidR="00AE10CF" w:rsidRPr="00AE10CF" w14:paraId="6E622B38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C430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74F50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A7CCA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UA863223130000026003010056112</w:t>
            </w:r>
          </w:p>
        </w:tc>
      </w:tr>
      <w:tr w:rsidR="00AE10CF" w:rsidRPr="00AE10CF" w14:paraId="760A5B03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0FB61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891C7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D5B74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AE10CF" w:rsidRPr="00AE10CF" w14:paraId="03CD45AE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27542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91F7F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A1FA7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AE10CF" w:rsidRPr="00AE10CF" w14:paraId="77294A09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C8FF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9E5F5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7C3A4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14282829</w:t>
            </w:r>
          </w:p>
        </w:tc>
      </w:tr>
      <w:tr w:rsidR="00AE10CF" w:rsidRPr="00AE10CF" w14:paraId="2DD1B99F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24D9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449C2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E88C5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UA873348510000000026007255506</w:t>
            </w:r>
          </w:p>
        </w:tc>
      </w:tr>
      <w:tr w:rsidR="00AE10CF" w:rsidRPr="00AE10CF" w14:paraId="0D3826B6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ACA3F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DC9A6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DBB52" w14:textId="77777777" w:rsidR="00AE10CF" w:rsidRP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E10C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6F43A7D5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18A972F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502612" w14:paraId="152A10F2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A2D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F7D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найменування, країна місцезнаходження, посилання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80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3C8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57B79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 кредитного рейтингу особи або цінних паперів особи</w:t>
            </w:r>
          </w:p>
        </w:tc>
      </w:tr>
      <w:tr w:rsidR="00502612" w14:paraId="1E4A4B5A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8C1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83B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997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3FB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E27FB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502612" w14:paraId="1A9BF5A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743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53F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"Кредит - Рейтинг"</w:t>
            </w:r>
          </w:p>
          <w:p w14:paraId="0F42091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</w:p>
          <w:p w14:paraId="7363C50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https://www.credit-rating.ua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235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B39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 рейтингової оцінки емітента 21.05.2024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12ADA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uaAA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+</w:t>
            </w:r>
          </w:p>
        </w:tc>
      </w:tr>
    </w:tbl>
    <w:p w14:paraId="6C2B93F4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ED7EFC0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50261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D15792F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502612" w14:paraId="6DEC3A3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6D12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66C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F026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A57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EE9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F69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29E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A53B9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502612" w14:paraId="2C88DA7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385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41C2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85E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829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54B6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380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1AE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A9861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502612" w14:paraId="47AF843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1DF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C82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910/4707/21</w:t>
            </w:r>
          </w:p>
          <w:p w14:paraId="3611A22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3DB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Господарський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D7B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"Фармацевтична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"Дарниця"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iнтересах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541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осiб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B57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AE0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Стягнення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197 695 166, 98 грн.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BA432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розгляду</w:t>
            </w:r>
          </w:p>
        </w:tc>
      </w:tr>
    </w:tbl>
    <w:p w14:paraId="336F0ECA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6971DB2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Штрафні санкції щодо особи:</w:t>
      </w:r>
    </w:p>
    <w:tbl>
      <w:tblPr>
        <w:tblW w:w="1561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2734"/>
        <w:gridCol w:w="2411"/>
        <w:gridCol w:w="2126"/>
        <w:gridCol w:w="4392"/>
        <w:gridCol w:w="10"/>
        <w:gridCol w:w="3395"/>
      </w:tblGrid>
      <w:tr w:rsidR="00502612" w14:paraId="00A2A8A3" w14:textId="77777777" w:rsidTr="008C4DEB">
        <w:trPr>
          <w:trHeight w:val="300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05F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89F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та дата рішення, яким накладено штрафну санкцію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6E0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Орган, який наклав штрафну санкцію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8785" w14:textId="77777777" w:rsidR="00502612" w:rsidRPr="008C4DEB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4DEB">
              <w:rPr>
                <w:rFonts w:ascii="Times New Roman CYR" w:hAnsi="Times New Roman CYR" w:cs="Times New Roman CYR"/>
                <w:sz w:val="20"/>
                <w:szCs w:val="20"/>
              </w:rPr>
              <w:t>Суть санкції (та її розмір, якщо застосовується)</w:t>
            </w:r>
          </w:p>
        </w:tc>
        <w:tc>
          <w:tcPr>
            <w:tcW w:w="4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C5E5" w14:textId="77777777" w:rsidR="00502612" w:rsidRPr="008C4DEB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4DEB">
              <w:rPr>
                <w:rFonts w:ascii="Times New Roman CYR" w:hAnsi="Times New Roman CYR" w:cs="Times New Roman CYR"/>
                <w:sz w:val="20"/>
                <w:szCs w:val="20"/>
              </w:rPr>
              <w:t>Підстава для накладення санкції (з посиланням на відповідні норми законодавства)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8BAE1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виконання</w:t>
            </w:r>
          </w:p>
        </w:tc>
      </w:tr>
      <w:tr w:rsidR="00502612" w14:paraId="0F9D5DE3" w14:textId="77777777" w:rsidTr="008C4DEB">
        <w:trPr>
          <w:trHeight w:val="300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277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E20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9A2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F7E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4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EFB7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F1AD9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AE10CF" w14:paraId="23E5F4A3" w14:textId="77777777" w:rsidTr="008C4DEB">
        <w:trPr>
          <w:trHeight w:val="300"/>
        </w:trPr>
        <w:tc>
          <w:tcPr>
            <w:tcW w:w="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5A98" w14:textId="1884CFA4" w:rsidR="00AE10CF" w:rsidRDefault="008C4DEB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8E50" w14:textId="77777777" w:rsid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48-Е</w:t>
            </w:r>
          </w:p>
          <w:p w14:paraId="43D854FA" w14:textId="64337405" w:rsid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11.04.2024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E4B1" w14:textId="2915E4DC" w:rsid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фондового ринку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4D65" w14:textId="4D311457" w:rsid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102 000 грн.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виконнання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розпорядження про усунення порушень законодавства на ринках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органiзованих</w:t>
            </w:r>
            <w:proofErr w:type="spellEnd"/>
          </w:p>
        </w:tc>
        <w:tc>
          <w:tcPr>
            <w:tcW w:w="4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CF2C" w14:textId="6EE63EF8" w:rsid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пункту 8 частини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11 Закону України "Про державне регулювання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органiзованих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товарних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01.01.2024)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764B" w14:textId="3E14910D" w:rsidR="00AE10CF" w:rsidRDefault="00AE10CF" w:rsidP="00AE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13.05.2025</w:t>
            </w:r>
          </w:p>
        </w:tc>
      </w:tr>
      <w:tr w:rsidR="008C4DEB" w14:paraId="7CC8324D" w14:textId="77777777" w:rsidTr="008C4DE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E73E" w14:textId="3DE700A3" w:rsidR="00CC47F0" w:rsidRDefault="008C4DEB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1E9E5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1519/Ж10/31-00-07-02-02-25</w:t>
            </w:r>
          </w:p>
          <w:p w14:paraId="7566F51E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26.06.2024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67491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ЦМУ ДПС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ВПП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28B1D" w14:textId="77777777" w:rsidR="00CC47F0" w:rsidRDefault="00CC47F0" w:rsidP="00CC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4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200 231 грн. (штрафна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), заниження податку на прибуток на 864 324 грн.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F8000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п. 44.1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44, пп.134.1.1. пункту 134.1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134 ПКУ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02.12.2010р. № 2755-VI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змiнами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доповненнями) 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36C6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скасовано ДПС України</w:t>
            </w:r>
          </w:p>
        </w:tc>
      </w:tr>
      <w:tr w:rsidR="008C4DEB" w14:paraId="06FAA01A" w14:textId="77777777" w:rsidTr="008C4DE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EB527" w14:textId="26B927CB" w:rsidR="00CC47F0" w:rsidRDefault="008C4DEB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5257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1417/Ж10/31-00-07-02-03-25</w:t>
            </w:r>
          </w:p>
          <w:p w14:paraId="593B9DC9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11.06.2024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0FB1D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ЦМУ ДПС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ВПП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E723D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1 020 грн (за подання не в повному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4ДФ)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13473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168.1.1,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168.1.4 ст.168, п.176.2 "а" ст.176, п.171.1, п.171.2 ст.171 ПКУ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5F2A6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18.06.2024</w:t>
            </w:r>
          </w:p>
        </w:tc>
      </w:tr>
      <w:tr w:rsidR="008C4DEB" w14:paraId="346FBE9D" w14:textId="77777777" w:rsidTr="008C4DE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CB819" w14:textId="14BD64C6" w:rsidR="00CC47F0" w:rsidRDefault="008C4DEB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F68D4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1418/Ж10/31-00-07-02-03-25</w:t>
            </w:r>
          </w:p>
          <w:p w14:paraId="1DB56D60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11.06.2024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1C5FA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ЦМУ ДПС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ВПП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4FA50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1 496,78 грн. (за подання не в повному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4ДФ)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39785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168.1.1,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168.1.4 ст.168, п.176.2 "а" ст.176, п.171.1, п.171.2 ст.171 ПКУ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89597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18.06.2024</w:t>
            </w:r>
          </w:p>
        </w:tc>
      </w:tr>
      <w:tr w:rsidR="008C4DEB" w14:paraId="66A5DA14" w14:textId="77777777" w:rsidTr="008C4DE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05125" w14:textId="7F443EDC" w:rsidR="00CC47F0" w:rsidRDefault="008C4DEB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5D68D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1421/Ж10/31-00-07-02-02-25</w:t>
            </w:r>
          </w:p>
          <w:p w14:paraId="28E4BE75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11.06.2024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B632C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ЦМУ ДПС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ВПП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87291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40 800 грн. (штрафна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не подання 20 ОПП)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FE784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п. 63.3. ст. 63 ПКУ, п. 8.1., п. 8.4, п. 8.5 р. VIII Порядку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платникiв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податку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затвердженого наказом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України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09.12.2011 № 1588 i зареєстрованого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Мiнiстерствi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юстицiї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України 29.12.2011р.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16755" w14:textId="77777777" w:rsidR="00CC47F0" w:rsidRDefault="00CC47F0" w:rsidP="000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18.06.2024</w:t>
            </w:r>
          </w:p>
        </w:tc>
      </w:tr>
    </w:tbl>
    <w:p w14:paraId="71B1EA3E" w14:textId="77777777" w:rsidR="00CC47F0" w:rsidRDefault="00CC47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2C99D9E" w14:textId="4AEC98E2" w:rsidR="00CC47F0" w:rsidRDefault="00CC47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CC47F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BB06527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19257032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502612" w14:paraId="2D58156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FEA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903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DE5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84024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502612" w14:paraId="4D12849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7D0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B43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201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17974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02612" w14:paraId="730059C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3E8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77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E8F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FC02B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502612" w14:paraId="5CD535F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1AF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D46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BA6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21AC2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Безпалько Микола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Артеменко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Федорiвна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Голобородько Олег Борисович, Гузь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Iванович</w:t>
            </w:r>
            <w:proofErr w:type="spellEnd"/>
          </w:p>
        </w:tc>
      </w:tr>
      <w:tr w:rsidR="00502612" w14:paraId="34DB5A6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407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045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B28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4E4D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Сергiйович</w:t>
            </w:r>
            <w:proofErr w:type="spellEnd"/>
          </w:p>
        </w:tc>
      </w:tr>
    </w:tbl>
    <w:p w14:paraId="5E28F764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4A79177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0261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B846FC7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72C0EE32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35"/>
        <w:gridCol w:w="1559"/>
        <w:gridCol w:w="1100"/>
        <w:gridCol w:w="800"/>
        <w:gridCol w:w="1000"/>
        <w:gridCol w:w="1000"/>
        <w:gridCol w:w="900"/>
        <w:gridCol w:w="4272"/>
        <w:gridCol w:w="1400"/>
        <w:gridCol w:w="1400"/>
      </w:tblGrid>
      <w:tr w:rsidR="00502612" w14:paraId="7D118095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EA4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7D4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F98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05E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0788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3FD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C7F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54D6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754F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4F5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C3B55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502612" w14:paraId="3DDD20D5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BF2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172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FF58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1FE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FC5A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FD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68E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C8A0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66F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BFD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8A83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502612" w14:paraId="1EEA6B8A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153C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252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8FD5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F67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D7484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BC49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1D07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1A0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AD52" w14:textId="77777777" w:rsidR="00502612" w:rsidRDefault="006F49F4" w:rsidP="009F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8178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03FB6FB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FA430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502612" w14:paraId="3AA92F76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5A9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E57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FB6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9150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BF19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B05F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08D1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028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A8262" w14:textId="77777777" w:rsidR="00502612" w:rsidRDefault="006F49F4" w:rsidP="009F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A9D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655783F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6DF6F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502612" w14:paraId="63BA6670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E9CC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7E9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397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10F9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307A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B04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CF1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B43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FA6D" w14:textId="77777777" w:rsidR="00502612" w:rsidRDefault="006F49F4" w:rsidP="009F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-юридичних питань,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002C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4F37B50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8CFD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502612" w14:paraId="3033213F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8AFC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C3E0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AEF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0FAC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22070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3323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1990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62E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47B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FB408" w14:textId="77777777" w:rsidR="00502612" w:rsidRDefault="006F49F4" w:rsidP="009F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"ФАРМАЦЕВТИЧНА ФIРМА "ДАРНИЦЯ""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00481212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помiчник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начальника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"ФАРМАЦЕВТИЧНА ФIРМА "ДАРНИЦЯ"", 00481212,  юрисконсульт,  ПРИВАТНЕ АКЦIОНЕРНЕ ТОВАРИСТВО "ФАРМАЦЕВТИЧНА ФIРМА "ДАРНИЦЯ"", 00481212,   юрист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iнтелектуальної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власностi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897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10.05.2022</w:t>
            </w:r>
          </w:p>
          <w:p w14:paraId="77B8B66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3995C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348F4BB3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35"/>
        <w:gridCol w:w="1417"/>
        <w:gridCol w:w="1100"/>
        <w:gridCol w:w="800"/>
        <w:gridCol w:w="1000"/>
        <w:gridCol w:w="1000"/>
        <w:gridCol w:w="900"/>
        <w:gridCol w:w="4414"/>
        <w:gridCol w:w="1400"/>
        <w:gridCol w:w="1400"/>
      </w:tblGrid>
      <w:tr w:rsidR="00502612" w14:paraId="42A73C19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D5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1C1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D8D2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C09D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A2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920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3F1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E97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A00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0B6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F7208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502612" w14:paraId="6AC3119B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9644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7A49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4D2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C2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3150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B59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E1E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347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248A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8BA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CB929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502612" w14:paraId="5E572DAE" w14:textId="77777777" w:rsidTr="009F6DB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447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0AA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B9E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ED6B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61089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62D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8A6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6E8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E8DD" w14:textId="77777777" w:rsidR="00502612" w:rsidRDefault="006F49F4" w:rsidP="009F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9F6DB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 23518596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категорiї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фiзико-хiмiчних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методiв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 -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04C7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13.02.2024</w:t>
            </w:r>
          </w:p>
          <w:p w14:paraId="660327F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20C5F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518058B5" w14:textId="77777777" w:rsidR="009F6DB0" w:rsidRDefault="009F6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3D7F231" w14:textId="77777777" w:rsidR="00502612" w:rsidRDefault="009F6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br w:type="page"/>
      </w:r>
    </w:p>
    <w:p w14:paraId="4E7324DB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502612" w14:paraId="7E637260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C45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353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6EB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55F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3215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24E4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236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67EFB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502612" w14:paraId="6441AD61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D099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A640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862F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76A4D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F2C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77DD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1C4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6BB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D285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502612" w14:paraId="2BE936B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544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132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F174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397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233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AE7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57D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48F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68FE1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502612" w14:paraId="028237C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5BDD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980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23D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3DD4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F3D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C427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B47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0,028982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D58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7675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02612" w14:paraId="5F95630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27FF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38A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1A2C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DAD97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4DC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8F8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004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2E0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ABCAF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02612" w14:paraId="3465924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F25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EC4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84B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61767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A9B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203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70B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8DFB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A608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02612" w14:paraId="5A87F85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7DF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543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492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079C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B16E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0A6E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7D0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78D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3CCCC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02612" w14:paraId="1F6A21B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98C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868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5C5C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1EA4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127A9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4D1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7AB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97E4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8E269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459BC37E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3A78F18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50261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E2948C9" w14:textId="77777777" w:rsidR="009F6DB0" w:rsidRPr="00AE10CF" w:rsidRDefault="009F6DB0" w:rsidP="009F6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E10CF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20DA2249" w14:textId="1C50422B" w:rsidR="009F6DB0" w:rsidRPr="00AE10CF" w:rsidRDefault="00AE10CF" w:rsidP="009F6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E10CF">
        <w:rPr>
          <w:rFonts w:ascii="Times New Roman CYR" w:hAnsi="Times New Roman CYR" w:cs="Times New Roman CYR"/>
          <w:i/>
          <w:iCs/>
          <w:sz w:val="24"/>
          <w:szCs w:val="24"/>
        </w:rPr>
        <w:t>https://bcpp.com.ua/shareholders</w:t>
      </w:r>
    </w:p>
    <w:p w14:paraId="6B620722" w14:textId="77777777" w:rsidR="009F6DB0" w:rsidRPr="00AE10CF" w:rsidRDefault="009F6DB0" w:rsidP="009F6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AB8A188" w14:textId="77777777" w:rsidR="009F6DB0" w:rsidRPr="00AE10CF" w:rsidRDefault="009F6DB0" w:rsidP="009F6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E10CF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0819B3C1" w14:textId="20EA149F" w:rsidR="009F6DB0" w:rsidRDefault="00AE10CF" w:rsidP="009F6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E10CF">
        <w:rPr>
          <w:rFonts w:ascii="Times New Roman CYR" w:hAnsi="Times New Roman CYR" w:cs="Times New Roman CYR"/>
          <w:i/>
          <w:iCs/>
          <w:sz w:val="24"/>
          <w:szCs w:val="24"/>
        </w:rPr>
        <w:t>https://bcpp.com.ua/shareholders</w:t>
      </w:r>
    </w:p>
    <w:p w14:paraId="5D11A251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8CE7E7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A940AB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182298F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02541CF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є членом неприбуткових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:</w:t>
      </w:r>
    </w:p>
    <w:p w14:paraId="6FE72D21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BB343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Членом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"Виробники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України".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об'єднання: Україна, 04073,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Київ, проспект Степана Бандери, будинок 13. www.avlu.org.ua.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"Виробники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України",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статуту, створена з метою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зусиль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фармацевтичної сектору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охорони здоров'я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використання їх виробничого, 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практичного та наукового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потенцiалу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вдосконалення фармацевтичного ринку України i, якомога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бiльшого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задоволення потреб населення України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засобах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динамiчного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розвитку кожного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член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2CE0741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F91F1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Членом Торгової промислової палати України.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Україна, 01601,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Київ, вулиця Велика Житомирська, будинок 33. https://ucci.org.ua. Забезпечує сприятливе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-середовище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створює та розширює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розвитку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вiдкиття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вiтчизняного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експорту, сприяння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динамiчнiй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iнтернацiоналiзацiї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українського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активну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iнтеграцiю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свiтову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економiку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вдосконалення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iнституцiйного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середовища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дiалогу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влади, а також надання послуг, затребуваних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042A33A3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0BA0D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Членом Київської торгової промислової палати України.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01601,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Б. Хмельницького, 55. https://kiev-chamber.org.ua. Київська ТПП має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метi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сприяння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розвитковi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свiтову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систему,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змiцнення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ринкових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механiзмiв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надання практичної допомоги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форм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представництва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Палати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органами державної виконавчої влади. Спектр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Палати дуже широкий i спрямований на встановлення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контактiв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українськими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зарубiжними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освоєння нових форм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участь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програм та проведення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зустрiчей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бiзнес-мiсiй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конференцiй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презентацiй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Серед основних послуг,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надає Київська ТПП своїм членам - проведення експертиз, контроль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визначення їхньої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видача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походження, декларування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зовнiшньоторговельних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штрихове кодування, юридичний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супровiд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аналiтика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визначення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переклади, рекламно-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видавничi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послуги. Строк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73276EBD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D03FCC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Членом Європейської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Україна, 01029,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Київ,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вул.Острозьких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Князiв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будинок 8, корпус 7. https://eba.com.ua. Європейська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створена з метою представництва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європейських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член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22C47C2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C99E5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Членом Об'єднання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медичної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мiкробiологiчної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промисловостi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України, яке є членом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конфедерацiї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об'єднання: 03033 м. Київ, вул. Ш.Руставелi,23. https://oormmpu.com.ua. Основна мета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Об'єднання - представництво та захист </w:t>
      </w: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 xml:space="preserve">законних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об'єднання -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соцiально-трудовiй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сферах, у тому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їх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сторонами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соцiального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партнерства, сприяння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взаєморозумiнню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медичної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мiкробiологiчної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промисловостi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України. Строк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CCD3B2A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638AE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0DD3C4A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не проводить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102C68F4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C31F2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628ECBB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3.1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</w:p>
    <w:p w14:paraId="1B2A46A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Доходи Товариства включають доходи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готової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FE57BB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виникає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контрагентам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послуг, визнається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компенсацiю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на яку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мати право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 або послуги.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продажу визнається з застосуванням наступної п'яти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ступiнчатої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яка включає: </w:t>
      </w:r>
    </w:p>
    <w:p w14:paraId="61C6F4E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iдентифiкацiю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з замовником;</w:t>
      </w:r>
    </w:p>
    <w:p w14:paraId="28AE970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iдентифiкацiю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 до виконання 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договiрних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 про передачу споживачам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послуг,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вiддiльними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4CE43E6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визначення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суми винагороди, яку суб'єкт господарювання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сподiвається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отримати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чи послуг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6B3B005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зобов'язання до виконання 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видiлення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кожного зобов'язання до виконання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самостiйної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кожного окремого товару або послуги;</w:t>
      </w:r>
    </w:p>
    <w:p w14:paraId="5188B3F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визнання доходу, коли зобов'язання до виконання виконується шляхом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обiцяного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товару або послуги контрагенту, за результатами якої контрагент отримує контроль над цим товаром або послугою.</w:t>
      </w:r>
    </w:p>
    <w:p w14:paraId="046BF02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Коли (або як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зобов'язання щодо виконання задоволене, Товариство  визнає як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величину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вiднесена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це зобов'язання щодо виконання.</w:t>
      </w:r>
    </w:p>
    <w:p w14:paraId="3BE8EC9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визначення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Товариство враховує умови договору та свою звичну практику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це величина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на яку 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отримати право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послуг. </w:t>
      </w:r>
    </w:p>
    <w:p w14:paraId="71C8862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визнається за зобов'язаннями з доставки товару, що поставляється Товариством, визнається в тих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коли товари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доставленi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послуги з доставки,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4CFCD0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якщо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продажу, 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доставку товару, такий продаж з доставкою розглядається як єдине зобов'язання, зважаючи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тiсний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взаємозв'язок продажу товару i виконання доставки,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замовленням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Витрати на доставку товару враховуються Товариством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 на збут.</w:t>
      </w:r>
    </w:p>
    <w:p w14:paraId="22F9626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Строки розрахунку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товари встановлюються в кожному конкретному випадку. Як правило, строк оплати за договорами з поставки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поставкам становить 30 - 90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покупця, за договорами поставки на експорт - до 120 календарних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моменту поставки.  </w:t>
      </w:r>
    </w:p>
    <w:p w14:paraId="543FFF1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Товариство застосовує спрощення, передбачене пунктом 63 МСФЗ 15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 i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коригування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обiцяної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суми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метою урахування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компонента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якщо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на момент укладення договору,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часом, коли Товариство передає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обiцяний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 або послугу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та часом, коли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платить за такий товар або послугу, становитиме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одного року. </w:t>
      </w:r>
    </w:p>
    <w:p w14:paraId="362A567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також застосовує спрощення, передбачене пунктом 121 МСФЗ 15, i не розкриває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свої решту зобов'язань щодо виконання,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початкова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тривалiсть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зобов`язань щодо продажу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 перевищує одного року.</w:t>
      </w:r>
    </w:p>
    <w:p w14:paraId="114330A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3.2.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Витрати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59AD427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 xml:space="preserve">Витрати визнаються витратами певного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одночасно з визнанням доходу, для отримання якого вони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Якщо витрати не мають безпосереднього зв'язку з певними доходами, вони визнаються в тому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6DBAEF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Якщо актив забезпечує одержання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то витрати визнаються шляхом систематичного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(наприклад,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виглядi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4D4FEF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3.3.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розробок</w:t>
      </w:r>
    </w:p>
    <w:p w14:paraId="4A47435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 Товариства включають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класи:</w:t>
      </w:r>
    </w:p>
    <w:p w14:paraId="2AF058F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 Права користування землею;</w:t>
      </w:r>
    </w:p>
    <w:p w14:paraId="61920A8B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торговi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знаки та патенти;</w:t>
      </w:r>
    </w:p>
    <w:p w14:paraId="3AAB584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 Програмне забезпечення;</w:t>
      </w:r>
    </w:p>
    <w:p w14:paraId="5A66773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активи.</w:t>
      </w:r>
    </w:p>
    <w:p w14:paraId="27F7F6C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EC432C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нараховується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Лiквiдацiйна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встановлюється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нуля. Строки корисного використання,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застосовуються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встановлюються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iндивiдуально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кожного об'єкту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77DCAC0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окремому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Адмiнiстративних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витрат" за статтею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".</w:t>
      </w:r>
    </w:p>
    <w:p w14:paraId="67C030C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не розмежовує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стадiю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стадiю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розробок у межах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проектiв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створення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облiковує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проекти як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були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зв'язку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стадiєю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визнаються витратами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531C30F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3.4.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засоби </w:t>
      </w:r>
    </w:p>
    <w:p w14:paraId="7B8F321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Земля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облiковується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Товариством за моделлю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вирахуванням будь-якого забезпечення зменшення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Амортизацiйнi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вiдрахування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землю не нараховуються.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споруди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моделлю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вирахуванням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Переоцiнка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проводиться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перiодичнiй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тому балансова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таких груп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значних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таких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визначених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дату.</w:t>
      </w:r>
    </w:p>
    <w:p w14:paraId="3F80BB2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зв'язку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переоцiнкою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визнається безпосередньо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статтею "Резерв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", а також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окремому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Дооцiнка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об'єкта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(у тому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), що входить до власного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не амортизується протягом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корисного використання, а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переноситься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нерозподiленого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прибутку, коли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припинення визнання активу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тощо). </w:t>
      </w:r>
    </w:p>
    <w:p w14:paraId="489970B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групи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вирахуванням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 нараховується упродовж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пiдготовки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введення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185B4E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Прибуток або збиток, що виникає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вибуття активу, визначається як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рiзниця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надходженнями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вибуття та балансовою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активу та визнається в окремому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17A0A5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обчислюють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прямолiнiйнiй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протягом попередньо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оцiнених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корисної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01EC62B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споруди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85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64939A2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Транспортнi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засоби, машини та обладнання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5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0D8EF48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Комп'ютерна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технiка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2 роки</w:t>
      </w:r>
    </w:p>
    <w:p w14:paraId="4047249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засоби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4-12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0453E7B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Витрати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обслуговування,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використання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використанi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технiчного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обслуговування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для одержання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визначених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використання таких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визнаються як витрати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можуть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використання, подовжити строк корисної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покращити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капiталiзуються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1ECFAB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3.5.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Оренда </w:t>
      </w:r>
    </w:p>
    <w:p w14:paraId="1B5A66B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договори оренди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МСФЗ (IFRS) 16 "Оренда". </w:t>
      </w:r>
    </w:p>
    <w:p w14:paraId="762445F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 xml:space="preserve">Визначення того, чи є угода орендою, або чи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вона ознаки оренди,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аналiзi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змiсту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угоди. При цьому на дату початку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встановлюється, чи залежить його виконання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використання конкретного активу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i чи переходить право користування активом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даної угоди.</w:t>
      </w:r>
    </w:p>
    <w:p w14:paraId="689CDE6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орендаря</w:t>
      </w:r>
    </w:p>
    <w:p w14:paraId="650C44B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права користування та зобов'язання по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дату початку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оренди, що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пiдпадають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спрощення. Дата початку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оренди - це дата, коли базовий актив стає доступним для використання орендарем.</w:t>
      </w:r>
    </w:p>
    <w:p w14:paraId="22B52EF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Активи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права користування початково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, яка включає:</w:t>
      </w:r>
    </w:p>
    <w:p w14:paraId="1BD8B28C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суму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з оренди;</w:t>
      </w:r>
    </w:p>
    <w:p w14:paraId="63466A6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дату початку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оренди або до неї, за вирахуванням стимулюючих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1F6C6DC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початковi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прямi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орендарем;</w:t>
      </w:r>
    </w:p>
    <w:p w14:paraId="1DBB160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орендарем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демонтажi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перемiщеннi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базового активу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вiдновленнi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на якому активи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розташованi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D49A62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настання дати початку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договору, активи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права користування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вирахуванням накопиченої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накопичених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а також коригуються з урахуванням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 з оренди.</w:t>
      </w:r>
    </w:p>
    <w:p w14:paraId="7D77C6D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Якщо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оренди передбачає передачу права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базовий актив Товариства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строку оренди або якщо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активу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права користування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той факт, що Товариство буде використовувати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покупку, Товариство амортизує актив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оренди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строку корисного використання базового активу.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випадку Товариство амортизує актив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оренди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ранньої з двох дат:</w:t>
      </w:r>
    </w:p>
    <w:p w14:paraId="7713E11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1)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дати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корисного строку використання активу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права користування або </w:t>
      </w:r>
    </w:p>
    <w:p w14:paraId="50AE6DF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2)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дати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строку оренди.</w:t>
      </w:r>
    </w:p>
    <w:p w14:paraId="4EBCA0E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Зобов'язання з оренди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теперiшньою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сплаченi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зазначену дату.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включенi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Товариства з оренди, включають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фiксованi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574818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дисконтуються з використанням процентної ставки, закладеної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оренди, якщо ця ставка може бути визначена, або ставки залучення додаткових позикових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Товариством. Кожен орендний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платiж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розподiляється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зобов'язанням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витратами.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прибуток або збиток протягом строку оренди з метою забезпечення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постiйної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процентної ставки по залишку зобов'язання за кожен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19ABF5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Актив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права користування амортизується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лiнiйним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методом протягом строку корисного використання активу або строку оренди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того, який з 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закiнчиться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8AB1A2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Строк оренди, визначений Товариством включає: </w:t>
      </w:r>
    </w:p>
    <w:p w14:paraId="1717818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оренди, який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пiдлягає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достроковому припиненню; </w:t>
      </w:r>
    </w:p>
    <w:p w14:paraId="7BD090F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продовження оренди, якщо є достатня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тому, що орендар виконає цей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0B5783F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припинення оренди, якщо є достатня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тому, що орендар не виконає цей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76F7CC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початку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оренди 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з оренди шляхом: </w:t>
      </w:r>
    </w:p>
    <w:p w14:paraId="4B124EB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 зобов'язанню з оренди;</w:t>
      </w:r>
    </w:p>
    <w:p w14:paraId="186257F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зменшення балансової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орендних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0FD63D6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перегляду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договору оренди.</w:t>
      </w:r>
    </w:p>
    <w:p w14:paraId="28FE96F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операцiйну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оренду як короткострокову, якщо строк оренди складає 12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менше. Товариство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операцiйну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оренду як оренду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низькою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(таких як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персональнi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комп'ютери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офiснi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меблi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в зв'язку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укладених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оренди. </w:t>
      </w:r>
    </w:p>
    <w:p w14:paraId="49F2A04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орендує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земельнi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використовуються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BFBAB1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договорами оренди земельних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дiлянок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>змiннi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з огляду на встановлену умовами договору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орендної плати, зокрема у зв'язку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ставки чи нормативно-грошової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земельної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переглядаються органами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самоврядування чи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державними органами. </w:t>
      </w:r>
    </w:p>
    <w:p w14:paraId="00E08A4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3.6.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41245F8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дочiрнi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визнаються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вирахуванням резерву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який визнається як витрати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 якому було виявлено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B72040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Дочiрнiми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участю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iноземного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 "KORVITA-FARM"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ТОВ "KORVITA-FARM") та ТОВ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"Дружба". Частка ПАТ НВЦ "БХФЗ" у статутному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 "KORVITA-FARM" складає 90%. ТОВ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українсько-китайське фармацевтичне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"Дружба" (частка ПАТ НВЦ "БХФЗ" у статутному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- 66.7%) з 2015 року знаходиться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стадiї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припинення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положень його статуту. </w:t>
      </w:r>
    </w:p>
    <w:p w14:paraId="50107B9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3.7.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</w:p>
    <w:p w14:paraId="236353C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є будь-яким контрактом, який приводить до появи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активу в одного суб'єкта господарювання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власного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суб'єкта господарювання. </w:t>
      </w:r>
    </w:p>
    <w:p w14:paraId="349120E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</w:t>
      </w:r>
    </w:p>
    <w:p w14:paraId="3EA724B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</w:p>
    <w:p w14:paraId="2D3762A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включаючи витрати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Найкращим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справедливої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угоди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40D198E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Прибуток або збиток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тому випадку, якщо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рiзниця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угоди,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якої можуть бути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спостережуванi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угоди з тим же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модель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яка як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базовi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використовує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спостережуваних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визнається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збитки, що призводить до визнання бухгалтерського збитку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вiдразу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визнання активу. </w:t>
      </w:r>
    </w:p>
    <w:p w14:paraId="43E2F09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Придбання та продаж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поставка яких повинна проводитися в строки,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законодавством або звичаями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обороту для даного ринку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продаж "на стандартних умовах"),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дату укладення угоди, тобто на дату, коли Товариство зобов'язується придбати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здiйснити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його продаж.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придбання визнаються, коли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стає стороною договору щодо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435A10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Торгова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дебiторська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Товариства, яка розглядається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Керiвництвом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як така, що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значного компоненту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огляду на те, що строки погашення такої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менше 12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сумою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послуг з подальшим визнанням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оцiночного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резерву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збитки. </w:t>
      </w:r>
    </w:p>
    <w:p w14:paraId="4870971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Класифiкацiя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подальша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</w:p>
    <w:p w14:paraId="2262054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активи, використовуючи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Класифiкацiя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подальша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боргових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залежить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(i)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Товариства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портфелем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(ii) характеристик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активом.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-модель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який використовується Товариством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активами з метою отримання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чи є метою Товариства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отримання передбачених договором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або отримання i передбачених договором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i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виникають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продажу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Якщо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способи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застосовнi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-моделей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збиток.</w:t>
      </w:r>
    </w:p>
    <w:p w14:paraId="25717B8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-модель визначається для групи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портфеля)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доказiв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яку Товариство має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здiйснити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досягнення мети, встановленої для портфеля, наявного на дату проведення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Фактори, що враховуються Товариством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визначеннi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бiзнес-</w:t>
      </w: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>моделi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включають мету i склад портфеля, минулий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отримання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ризиками, методи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прибутковостi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схему виплат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керiвникам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0D9C4110" w14:textId="48B2B328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Станом на 3</w:t>
      </w:r>
      <w:r w:rsidR="00771250" w:rsidRPr="0031106E">
        <w:rPr>
          <w:rFonts w:ascii="Times New Roman CYR" w:hAnsi="Times New Roman CYR" w:cs="Times New Roman CYR"/>
          <w:sz w:val="24"/>
          <w:szCs w:val="24"/>
        </w:rPr>
        <w:t>0</w:t>
      </w:r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71250" w:rsidRPr="0031106E">
        <w:rPr>
          <w:rFonts w:ascii="Times New Roman CYR" w:hAnsi="Times New Roman CYR" w:cs="Times New Roman CYR"/>
          <w:sz w:val="24"/>
          <w:szCs w:val="24"/>
        </w:rPr>
        <w:t>черв</w:t>
      </w:r>
      <w:r w:rsidRPr="0031106E">
        <w:rPr>
          <w:rFonts w:ascii="Times New Roman CYR" w:hAnsi="Times New Roman CYR" w:cs="Times New Roman CYR"/>
          <w:sz w:val="24"/>
          <w:szCs w:val="24"/>
        </w:rPr>
        <w:t>ня 202</w:t>
      </w:r>
      <w:r w:rsidR="00771250" w:rsidRPr="0031106E">
        <w:rPr>
          <w:rFonts w:ascii="Times New Roman CYR" w:hAnsi="Times New Roman CYR" w:cs="Times New Roman CYR"/>
          <w:sz w:val="24"/>
          <w:szCs w:val="24"/>
        </w:rPr>
        <w:t>4</w:t>
      </w:r>
      <w:r w:rsidRPr="0031106E">
        <w:rPr>
          <w:rFonts w:ascii="Times New Roman CYR" w:hAnsi="Times New Roman CYR" w:cs="Times New Roman CYR"/>
          <w:sz w:val="24"/>
          <w:szCs w:val="24"/>
        </w:rPr>
        <w:t xml:space="preserve"> року Товариство не мало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 або через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торгову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дебiторську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позики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утримуються для отримання контрактних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тому в подальшому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використанням методу ефективної ставки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за вирахуванням резерву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збитки. </w:t>
      </w:r>
    </w:p>
    <w:p w14:paraId="3E78A89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рекласифiкуються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-модель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цим портфелем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Рекласифiкацiя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проводиться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перспективно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початку першого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Товариство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змiнювало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-модель протягом поточного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не проводила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рекласифiкацiю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5E7FE3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</w:t>
      </w:r>
    </w:p>
    <w:p w14:paraId="20109CFC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На кожну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дату щодо окремого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активу або групи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Товариство визнає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весь строк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якщо кредитний ризик за таким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значно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зрiс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моменту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визнання. Якщо станом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дату кредитний ризик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 зазнав  значного зростання з моменту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визнання, то резерв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 за таким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12-мiсячним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кредитним збиткам. </w:t>
      </w:r>
    </w:p>
    <w:p w14:paraId="386345F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Щодо торговельної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дебiторської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Товариство завжди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кредитним збиткам за весь строк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Витрати на створення резерву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 щодо торговельної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дебiторської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витрати" в окремому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537EF29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Списання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</w:p>
    <w:p w14:paraId="482D3BA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збитки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Товариством виходячи з об'єктивної та зваженої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ймовiрнiстю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суми, визначеної шляхом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певного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дiапазону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з урахуванням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грошей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часi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базуючись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обгрунтовано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необхiднiй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пiдтверджуванiй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минулi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умови та прогнози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умов, що може бути одержана без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надмiрних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 або зусиль станом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дату.</w:t>
      </w:r>
    </w:p>
    <w:p w14:paraId="0A55993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 списуються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цiлком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частково, коли Товариство вичерпало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практичнi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їх стягнення i прийшла до висновку про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необгрунтованiсть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вiдшкодування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Списання є припиненням визнання. Ознаки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обгрунтованих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стягнення включають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фактори:</w:t>
      </w:r>
    </w:p>
    <w:p w14:paraId="10E35A8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контрагент зазнає значних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труднощiв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контрагента, що знаходиться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розпорядженнi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Товариства;</w:t>
      </w:r>
    </w:p>
    <w:p w14:paraId="7D1593F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контрагент розглядає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оголошення банкрутства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3FDA1BC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негативна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платiжного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статусу контрагента, обумовлена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нацiональних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умов, що впливають на контрагента.</w:t>
      </w:r>
    </w:p>
    <w:p w14:paraId="2D69AD2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може списати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активи, щодо яких ще вживаються заходи щодо примусового стягнення, коли Товариство намагається стягнути суми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договором, хоча у неї немає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обгрунтованих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їх стягнення. </w:t>
      </w:r>
    </w:p>
    <w:p w14:paraId="4A2408DB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</w:p>
    <w:p w14:paraId="63749E0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визнання та подальша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</w:t>
      </w:r>
    </w:p>
    <w:p w14:paraId="0BDFAF5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за наступними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категорiями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кредити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торгова кредиторська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Товариство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класифiкувало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жодних своїх зобов'язань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облiкованих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зобов'язань, що виникають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припинення визнання або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застосування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пiдходу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гарантiї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зобов'язань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надання позики за ставкою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нижчою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ринкової.</w:t>
      </w:r>
    </w:p>
    <w:p w14:paraId="1F57527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визнаються за їх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вирахуванням (за виключенням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прибуток або </w:t>
      </w: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 xml:space="preserve">збиток) витрат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операцiєю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можуть бути безпосередньо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пов'язанi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випуском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зобов'язання.</w:t>
      </w:r>
    </w:p>
    <w:p w14:paraId="7402496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визнання Товариство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за амортизованою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використанням методу ефективної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ставки. Метод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ставки передбачає, що витрати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протягом строку до погашення сплачуються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постiйною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ставкою до залишку зобов'язання, що визнається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стан. "Витрати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 в даному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контекстi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включають в себе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початковi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витрати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сплати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погашеннi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, а також будь-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сплати,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якщо зобов'язання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сплаченi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6C6255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</w:t>
      </w:r>
    </w:p>
    <w:p w14:paraId="4A946F3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випадку виконання, анулювання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строку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зобов'язання.</w:t>
      </w:r>
    </w:p>
    <w:p w14:paraId="3B7BC30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</w:p>
    <w:p w14:paraId="15F513B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 i зобов'язання згортаються i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стан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чистою величиною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тих випадках, коли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юридично визначене право провести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вiдображених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сум, а також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провести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або одночасно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реалiзувати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 i погасити зобов'язання. Право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розглядається, не повинно залежати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повинно мати юридичну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наступних обставин: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ходi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звичайної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невиконаннi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зобов'язань за платежем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подiя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дефолту) i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неспроможностi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банкрутства. </w:t>
      </w:r>
    </w:p>
    <w:p w14:paraId="76034F10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FD205B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44CF338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знаходиться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постiйного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зростання.</w:t>
      </w:r>
    </w:p>
    <w:p w14:paraId="5BF88E3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За результатами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потоки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мали додатне значення, що було забезпечено, насамперед, надходженням виручки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основної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).</w:t>
      </w:r>
    </w:p>
    <w:p w14:paraId="6975D64F" w14:textId="152C8A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Джерелами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ремонтiв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придбання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тощо), а також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(виплати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протягом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року, виступали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кошти.</w:t>
      </w:r>
    </w:p>
    <w:p w14:paraId="68AB833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Робочого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достатньо.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16D5D21D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EA630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5) опис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71E6AC4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В 2024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затвердженого Плану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розширення номенклатури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проводиться робота по 11 препаратах у 4-х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формах,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фармацевтична розробка 6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продовжується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бiоеквiвалентностi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засобу.</w:t>
      </w:r>
    </w:p>
    <w:p w14:paraId="396B453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Сума витрат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розробку: </w:t>
      </w:r>
    </w:p>
    <w:p w14:paraId="634AC50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  1пiвр. 2024         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пiвр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 2023</w:t>
      </w:r>
    </w:p>
    <w:p w14:paraId="4674FE3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розробку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                   (8 388)              (6 222) </w:t>
      </w:r>
    </w:p>
    <w:p w14:paraId="1149AD66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28DC99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247C88A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виробляє/надає особа;</w:t>
      </w:r>
    </w:p>
    <w:p w14:paraId="5892D80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 має збалансований продуктовий портфель: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засоби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100 найменувань), препарати для ветеринарної медицини,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дiєтичнi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харчовi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добавки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БАДи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дезiнфiкуючi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засоби; займає одне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провiдних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обсягами виробництва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готових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серед українських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; виготовляє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груп та 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соцiально-орiєнтованим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Номенклатура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виробляється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складає близько 130 найменувань.</w:t>
      </w:r>
    </w:p>
    <w:p w14:paraId="1476D705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23970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);</w:t>
      </w:r>
    </w:p>
    <w:p w14:paraId="2666F5C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обсяги виробництва у натуральному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- 18,2 млн.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56F009F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обсяги виробництва у грошовому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- 1 101,1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млн.грн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51BB42CA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FE151B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097C587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 xml:space="preserve"> 48,25 грн.;</w:t>
      </w:r>
    </w:p>
    <w:p w14:paraId="025BAFA5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6E069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4) загальна сума виручки;</w:t>
      </w:r>
    </w:p>
    <w:p w14:paraId="21FE8FF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972 671 тис. грн.;</w:t>
      </w:r>
    </w:p>
    <w:p w14:paraId="3DE4E1EC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BBFE9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1723ABB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загальна сума експорту - 135,9 млн. грн., частка експорту в загальному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доходi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- 14,0 %</w:t>
      </w:r>
    </w:p>
    <w:p w14:paraId="4E8088A4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406D5A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053EDB2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специфiку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,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є залежним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сезонних коливань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характеризуються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пiками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захворювань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пори року. </w:t>
      </w:r>
    </w:p>
    <w:p w14:paraId="576A5A8E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20EF4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58891E29" w14:textId="2D7B6073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trike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Основними покупцями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були: ТОВ "БАДМ", ТОВ СП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Оптiмафарм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ЛТД"</w:t>
      </w:r>
      <w:r w:rsidR="00FF6B98"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1F56E5C9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BA102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740ABAF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У 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пiврiччi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2024 року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експортував власну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17 країн: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Австралiя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Азербайджан,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Болгарiя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Боснiя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Герцеговина,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Грузiя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Iзраїль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Iрак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Казахстан,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Латвiя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Литва, Молдова, Польща,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Румунiя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США, Таджикистан, Узбекистан,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Хорватiя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5AB2F61C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Основним ринком збуту для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залишається Україна, частка якої в загальному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складає 86,0 %. </w:t>
      </w:r>
    </w:p>
    <w:p w14:paraId="1E987780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2D2F7B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1283748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Збутова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вимог Належної практики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дистрибуцiї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(GDP), забезпечуючи збереження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вироблених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етапi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транспортування,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надання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пацiєнту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581B0A2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Вибiр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збуту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урахуванням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конкурентного середовища, товарного портфеля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прогнозування та планування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збуту, а також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маркетингових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20617E9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важливим завданням збуту є розширення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ринку.</w:t>
      </w:r>
    </w:p>
    <w:p w14:paraId="574158F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рацiональної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роботи системи збуту з урахуванням особливостей ринку, були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канали збуту та його суб'єкти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дистриб'юторськi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аптечнi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госпiтальний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сегмент),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органiзовано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контроль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збуту, розроблено та введено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систему їх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мотивацiй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00FDEE5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Логiстика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збуту планується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замовлень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мiнiмальними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витратами на складання товару, його упаковку, вантажно-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розвантажувальнi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роботи та транспортування. </w:t>
      </w:r>
    </w:p>
    <w:p w14:paraId="28AD62D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Для забезпечення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процесу продаж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визначений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пiдтримується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оптимальний обсяг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ГЛЗ, регулярно ведуться роботи по зменшенню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втрачених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продажу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дефектура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рахунок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оптимiзацiї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маршрутiв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доставки ГЛЗ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вантажомiсткостi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транспортних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1EB48BEC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Просуванням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займається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вiддiл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регiональної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Для роботи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лiкарями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провiзорами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працює мережа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медпредставникiв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завданням яких 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регiонiв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фiрм-дистриб'юторiв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формування позитивного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iмiджу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забезпечення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впiзнаваностi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зворотного зв'язку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виробника.</w:t>
      </w:r>
    </w:p>
    <w:p w14:paraId="0F68B13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Збут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дистриб'ютори, на складах яких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проводяться аудити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збуту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для зведення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мiнiмуму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ризику зниження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етапi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E63705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Обслуговування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використанням ERP - системи,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07D8DA1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-продажу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виробником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фiрмами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дистриб'юторами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укладених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5343DF0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38EAE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 xml:space="preserve">10)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02980A5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постачальники у   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пiврiччi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2024 року: </w:t>
      </w:r>
    </w:p>
    <w:p w14:paraId="1DD1797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Постачальник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Країна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Предмет поставки</w:t>
      </w:r>
    </w:p>
    <w:p w14:paraId="082D4CC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VITAMED SKUPINA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Словенiя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4CE765E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APIGAL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d.o.o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Словенiя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643C3EA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Synthon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BV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Iпанiя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763D802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АГРОФАРМ  ТОВ IРПIНЬ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Україна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медикаменти</w:t>
      </w:r>
    </w:p>
    <w:p w14:paraId="306A94C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НАТУР+ ТОВ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Україна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r w:rsidRPr="0031106E">
        <w:rPr>
          <w:rFonts w:ascii="Times New Roman CYR" w:hAnsi="Times New Roman CYR" w:cs="Times New Roman CYR"/>
          <w:sz w:val="24"/>
          <w:szCs w:val="24"/>
        </w:rPr>
        <w:tab/>
        <w:t>медикаменти</w:t>
      </w:r>
    </w:p>
    <w:p w14:paraId="03D9DE07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827563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78231AC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Сфера охорони здоров'я завжди залишається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прiоритетним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напрямом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суспiльства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держави. Потужну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нiшу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охорони здоров'я формує фармацевтична сфера.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Сьогоднi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свiтi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виробництво фармацевтичних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однiєю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найперспективнiших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галузей. Протягом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свiтовий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ринок фармацевтики демонструє сталу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тенденцiю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зростання.</w:t>
      </w:r>
    </w:p>
    <w:p w14:paraId="75C710DE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DF071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371ED8B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Технологiя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виробництва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складається з низки однотипних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фiзико-хiмiчних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хiмiчних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характеризуються загальними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закономiрностями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технологiчнi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процеси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виробництвi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проводяться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аналогiчних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машинах та апаратах.</w:t>
      </w:r>
    </w:p>
    <w:p w14:paraId="356DA21A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F0984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2E0FF8E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Серед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ХФЗ", за результатами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роздрiбних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пiврiччi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2024 року, займає 10-ту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позицiю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показником в 890 050,2 тис. грн.</w:t>
      </w:r>
    </w:p>
    <w:p w14:paraId="35CB6B9D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EC2F6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1AE2E28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Конкурентне середовище або ринок, на якому працює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мав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характеристики: за даними БД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Морiон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 обсяг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роздрiбного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сегмента фармацевтичного ринку України за 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пiврiччя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2024 р. склав 82 286 843,1 тис. грн. та 472 210 555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При цьому обсяг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українських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аналогiчний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грошовому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склав 31 279 432,2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., а в упаковках 297 675 743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вищезазначеного частка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фармвиробникiв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грошовому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становить 38,0%.</w:t>
      </w:r>
    </w:p>
    <w:p w14:paraId="0D1813C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Серед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вiтчизняному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закордонному ринках можна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вiдмiтити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таких, як ПАТ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Фармак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", ПрАТ "ФФ Дарниця",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корпорацiя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Артерiум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", ПАТ "Київський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вiтамiнний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завод", фармацевтична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"Здоров'я", Фармацевтична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корпорацiя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Юрiя-Фарм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", ТДВ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Iнтерхiм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", Група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Кусум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Acino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Швейцарiя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6FBC8E5D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AE7F6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545A180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розроблено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стратегiєю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власного розвитку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довгостроковiй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перспективi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Так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плану розвитку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на 2024 - 2026 роки визначено розробку, проведення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доклiнiчних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клiнiчних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випробувань, впровадження у виробництво та виведення на ринок багатьох нових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1F590303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4D5599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7. Опис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77DAC4F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Група зазнає впливу наступних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ринковий ризик, кредитний ризик та 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Стратегiчна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менеджменту Групи спрямована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непередбачуваностi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пошуку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зниження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потенцiйного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негативного ефекту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Групи.</w:t>
      </w:r>
    </w:p>
    <w:p w14:paraId="1EC3A3D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Ринковий ризик</w:t>
      </w:r>
    </w:p>
    <w:p w14:paraId="5270E35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Ринковий ризик є ризиком того, що справедлива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буде коливатися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ринкових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Ринковий ризик включає три види </w:t>
      </w: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 xml:space="preserve">ризику: валютний ризик, 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ставки та 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зазнають впливу ринкового ризику,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кредити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позики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короткостроковi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депозити.</w:t>
      </w:r>
    </w:p>
    <w:p w14:paraId="4FCE6CF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Валютний ризик </w:t>
      </w:r>
    </w:p>
    <w:p w14:paraId="3D36992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Група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так i постачальниками обладнання i сировини. Таким чином, Група є чутливою до впливу валютного ризику, особливо в умовах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нестабiльностi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валюти, що значно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збiльшує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втрати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курсових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рiзниць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Однак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оперативне спостереження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динамiкою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валютних котирувань та вживає заходи щодо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мiнiмiзацiї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втрат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коливань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валюти.</w:t>
      </w:r>
    </w:p>
    <w:p w14:paraId="729DE55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ставки</w:t>
      </w:r>
    </w:p>
    <w:p w14:paraId="2E7571E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Вiдсотковий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ризик - це ризик того, що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плаваючих ставок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негативно впливатимуть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результати Групи. Група не використовує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похiдних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доступнiстю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вiдсотковому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ризиковi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одночасно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 та зобов'язання Групи мають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фiксованi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ставки, тому цей 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6A9FCFFC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FFAD64F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обумовлений високим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конкуренцiї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серед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Багато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нарощують або планують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Намiтилася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консолiдацiя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декiлькох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найпотужнiших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чинники призводять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маркетингової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аналогiчної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Ризики коливання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ринку планується частково знизити за рахунок розробки нових конкурентоспроможних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24FC4D6C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Кредитний ризик </w:t>
      </w:r>
    </w:p>
    <w:p w14:paraId="7E32EEF7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Кредитний ризик Групи обмежується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активами. Група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своєчасностi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погашення покупцями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контрагентами своїх зобов'язань та враховує дану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управлiннi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кредитними ризиками та при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аналiзi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дотримання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дисциплiни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Її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активи не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забезпеченi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заставою,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кредитними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гарантiями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Середнi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строки оплати основними дистриб'юторами Групи за поставлену їм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 перевищують 60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0306658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2772BAC0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це ризик того, що Група не буде спроможною погасити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зобов'язання, коли настане строк сплати. Група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ретельний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запланованих погашень довгострокових зобов'язань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прогнозiв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грошових надходжень та виплат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звичайної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використовуються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даним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7731A2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аналiзується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розрiзi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багатьох часових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промiжкiв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: щоденно, щотижня, 30-ти денне прогнозування, виходячи з попереднього дня.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Довгостроковi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потреби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180 та 360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розглядаються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щомiсячнiй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потреби в грошових коштах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порiвнюються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iснуючими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борговими зобов'язаннями з метою визначення прогалин та нестач.</w:t>
      </w:r>
    </w:p>
    <w:p w14:paraId="5C13DBEC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E8DA4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000AC51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зовнiшнi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фактори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мiнливiсть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споживчого попиту фармацевтичного ринку, посилення вимог 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а також жорстку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конкуренцiю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ринку,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прiоритетнiсть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розвитку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спрямована на:</w:t>
      </w:r>
    </w:p>
    <w:p w14:paraId="3836C68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1) Розвиток наукової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працює над розробкою нових та вдосконаленням вже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генеричних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286B654D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Модернiзацiю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введення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нових виробничих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до вимог належної виробничої практики (GMP) з виробництв готових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B19FB0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3) Впровадження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iнновацiйних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є вагомим вкладом в розвиток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розробки та виробництва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6EC06DB8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4) Освоєння нових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збуту,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експортного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потенцiалу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Прiоритетнiсть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актуальнiсть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цього напрямку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розвитку пояснюється насиченням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вiтчизняного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>фармацевтичного ринку та загостренням конкурентної боротьби.</w:t>
      </w:r>
    </w:p>
    <w:p w14:paraId="673E29CC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6D65DFC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78E07571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Для подальшої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розвитку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запланованi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капiтальнi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на: придбання та встановлення виробничого i лабораторного обладнання,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модернiзацiю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дооснащення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виробничих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вентиляцiйних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систем, перенесення кабельних мереж, придбання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автомобiлiв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     </w:t>
      </w:r>
    </w:p>
    <w:p w14:paraId="56067BA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вищезазначенi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бюджетом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орiєнтовно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передбачено 70,5 млн. грн.</w:t>
      </w:r>
    </w:p>
    <w:p w14:paraId="51C22BB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У 1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пiврiччi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2024 року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капiтальне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будiвництво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придбання (виготовлення)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придбання (створення)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капiтальнi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було витрачено 43,6 млн. грн. або 4,5%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чистого доходу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21136C2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Загалом 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було введено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суму 36,9 млн. грн.</w:t>
      </w:r>
    </w:p>
    <w:p w14:paraId="01293D9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розвиток були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зробленi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 рахунок власних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Основними напрямками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iнвестування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були:</w:t>
      </w:r>
    </w:p>
    <w:p w14:paraId="262C4B0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  <w:t xml:space="preserve">придбання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;</w:t>
      </w:r>
    </w:p>
    <w:p w14:paraId="0C482E5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-</w:t>
      </w:r>
      <w:r w:rsidRPr="0031106E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переоснащення виробничих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дiльниць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т.д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4826347A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B81A5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58ACCC8F" w14:textId="77777777" w:rsidR="00A13855" w:rsidRPr="0031106E" w:rsidRDefault="00A13855" w:rsidP="00A1385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106E">
        <w:rPr>
          <w:rFonts w:ascii="Times New Roman" w:hAnsi="Times New Roman" w:cs="Times New Roman"/>
          <w:sz w:val="24"/>
          <w:szCs w:val="24"/>
        </w:rPr>
        <w:t>Протягом шести місяців, що закінчилися 30 червня 2024 року, Товариство придбало основних засобів  та нематеріальних активів на суму 44 188 тис. грн (шести місяців, що закінчилися 30 червня 2023року: 32 335  тис. грн).</w:t>
      </w:r>
    </w:p>
    <w:p w14:paraId="78307A43" w14:textId="77777777" w:rsidR="00A13855" w:rsidRPr="0031106E" w:rsidRDefault="00A13855" w:rsidP="00A1385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106E">
        <w:rPr>
          <w:rFonts w:ascii="Times New Roman" w:hAnsi="Times New Roman" w:cs="Times New Roman"/>
          <w:sz w:val="24"/>
          <w:szCs w:val="24"/>
        </w:rPr>
        <w:t xml:space="preserve">Вибуло балансової вартості основних засобів та </w:t>
      </w:r>
      <w:proofErr w:type="spellStart"/>
      <w:r w:rsidRPr="0031106E">
        <w:rPr>
          <w:rFonts w:ascii="Times New Roman" w:hAnsi="Times New Roman" w:cs="Times New Roman"/>
          <w:sz w:val="24"/>
          <w:szCs w:val="24"/>
        </w:rPr>
        <w:t>нематеріальниї</w:t>
      </w:r>
      <w:proofErr w:type="spellEnd"/>
      <w:r w:rsidRPr="0031106E">
        <w:rPr>
          <w:rFonts w:ascii="Times New Roman" w:hAnsi="Times New Roman" w:cs="Times New Roman"/>
          <w:sz w:val="24"/>
          <w:szCs w:val="24"/>
        </w:rPr>
        <w:t xml:space="preserve"> активів за шість місяців, що закінчилися 30 червня 2024 року, на суму 111 тис. грн (шість місяців, що закінчилися 30 червня 2023 року: 0 тис. грн).</w:t>
      </w:r>
    </w:p>
    <w:p w14:paraId="0DB91FD4" w14:textId="3B61827F" w:rsidR="00A13855" w:rsidRPr="0031106E" w:rsidRDefault="00A13855" w:rsidP="00A13855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31106E">
        <w:rPr>
          <w:rFonts w:ascii="Times New Roman" w:hAnsi="Times New Roman" w:cs="Times New Roman"/>
          <w:sz w:val="24"/>
          <w:szCs w:val="24"/>
        </w:rPr>
        <w:t>Протягом шести місяців, що закінчилися 30 червня 202</w:t>
      </w:r>
      <w:r w:rsidRPr="0031106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31106E">
        <w:rPr>
          <w:rFonts w:ascii="Times New Roman" w:hAnsi="Times New Roman" w:cs="Times New Roman"/>
          <w:sz w:val="24"/>
          <w:szCs w:val="24"/>
        </w:rPr>
        <w:t xml:space="preserve"> року, Товариство провело переоцінку основних засобів групи Земля та визнало в </w:t>
      </w:r>
      <w:proofErr w:type="spellStart"/>
      <w:r w:rsidRPr="0031106E">
        <w:rPr>
          <w:rFonts w:ascii="Times New Roman" w:hAnsi="Times New Roman" w:cs="Times New Roman"/>
          <w:sz w:val="24"/>
          <w:szCs w:val="24"/>
        </w:rPr>
        <w:t>проміжном</w:t>
      </w:r>
      <w:proofErr w:type="spellEnd"/>
      <w:r w:rsidRPr="003110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106E">
        <w:rPr>
          <w:rFonts w:ascii="Times New Roman" w:hAnsi="Times New Roman" w:cs="Times New Roman"/>
          <w:sz w:val="24"/>
          <w:szCs w:val="24"/>
        </w:rPr>
        <w:t>у скороченому окремому звіті про сукупний дохід інший сукупний дохід на суму 35 461 тис. грн.</w:t>
      </w:r>
    </w:p>
    <w:p w14:paraId="01E9EBF1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0D305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11. Проблеми,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4303CDB3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Закони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акти,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операцiйне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середовище в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можуть швидко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03F72BE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Подальший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розвиток залежить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спектру ефективних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вживаються українським урядом, а також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перебувають поза зоною впливу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3C5D00D5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полiтичне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становище України, проведення АТО,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падiння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 галузях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зокрема, зростання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енергоносiї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матерiали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валюти, можуть виникнути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об'єктивнi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обставини, що вплинуть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господарську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проводити розрахунки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робiтниками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постачальниками, бюджетом тощо. Майбутнє спрямування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боку українського уряду може мати вплив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реалiзацiю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а також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виконувати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строками погашення ПАТ НВЦ "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ХФЗ"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, так i постачальниками обладнання i сировини.</w:t>
      </w:r>
    </w:p>
    <w:p w14:paraId="56F5CE22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Таким чином,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є чутливим до впливу валютного ризику, особливо в умовах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нестабiльностi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1106E">
        <w:rPr>
          <w:rFonts w:ascii="Times New Roman CYR" w:hAnsi="Times New Roman CYR" w:cs="Times New Roman CYR"/>
          <w:sz w:val="24"/>
          <w:szCs w:val="24"/>
        </w:rPr>
        <w:lastRenderedPageBreak/>
        <w:t xml:space="preserve">курсу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валюти, що значно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збiльшує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втрати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курсових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рiзниць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2EF1D7A1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EE9F6D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).</w:t>
      </w:r>
    </w:p>
    <w:p w14:paraId="40AF1DD3" w14:textId="57BA372F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Станом на 30 червня 2024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контрактнi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зобов'язання Товариства щодо придбання основних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складали </w:t>
      </w:r>
      <w:r w:rsidR="00FE2B73" w:rsidRPr="0031106E">
        <w:rPr>
          <w:rFonts w:ascii="Times New Roman CYR" w:hAnsi="Times New Roman CYR" w:cs="Times New Roman CYR"/>
          <w:sz w:val="24"/>
          <w:szCs w:val="24"/>
        </w:rPr>
        <w:t xml:space="preserve">7117 </w:t>
      </w:r>
      <w:r w:rsidRPr="0031106E">
        <w:rPr>
          <w:rFonts w:ascii="Times New Roman CYR" w:hAnsi="Times New Roman CYR" w:cs="Times New Roman CYR"/>
          <w:sz w:val="24"/>
          <w:szCs w:val="24"/>
        </w:rPr>
        <w:t xml:space="preserve">тис. грн. </w:t>
      </w:r>
    </w:p>
    <w:p w14:paraId="1917F65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) -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4751C3B7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CE1D1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4C3F04D9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- 658, середня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- 3,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 - 15.</w:t>
      </w:r>
    </w:p>
    <w:p w14:paraId="28A9DE96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- 162532 тис. грн., фонд оплати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17CCED99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C3B68A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14. Будь-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>.</w:t>
      </w:r>
    </w:p>
    <w:p w14:paraId="0E3E8934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>Будь-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не надходили.</w:t>
      </w:r>
    </w:p>
    <w:p w14:paraId="102244CB" w14:textId="77777777" w:rsidR="00502612" w:rsidRPr="0031106E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B5DC5E" w14:textId="77777777" w:rsidR="00502612" w:rsidRPr="0031106E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15.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14D3B39B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106E"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стейкхолдери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 w:rsidRPr="0031106E"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 w:rsidRPr="0031106E">
        <w:rPr>
          <w:rFonts w:ascii="Times New Roman CYR" w:hAnsi="Times New Roman CYR" w:cs="Times New Roman CYR"/>
          <w:sz w:val="24"/>
          <w:szCs w:val="24"/>
        </w:rPr>
        <w:t xml:space="preserve"> Товариства за посиланням http://bcpp.com.ua/shareholders.</w:t>
      </w:r>
    </w:p>
    <w:p w14:paraId="189DF04B" w14:textId="77777777" w:rsidR="00502612" w:rsidRDefault="009F6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7E181C73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отриманих особою ліцензій</w:t>
      </w:r>
    </w:p>
    <w:tbl>
      <w:tblPr>
        <w:tblW w:w="107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3561"/>
        <w:gridCol w:w="1500"/>
        <w:gridCol w:w="1065"/>
        <w:gridCol w:w="3000"/>
        <w:gridCol w:w="1200"/>
      </w:tblGrid>
      <w:tr w:rsidR="00502612" w14:paraId="3A0D8D3E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8523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3F7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66B9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ACA7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F0B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2FE91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закінчення строку дії ліцензії (за наявності)</w:t>
            </w:r>
          </w:p>
        </w:tc>
      </w:tr>
      <w:tr w:rsidR="00502612" w14:paraId="49E9965C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495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B0CF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E131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F104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5E9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B8B44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502612" w14:paraId="3D71B086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1DA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DF3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46B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598003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30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9A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76885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1631278C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E85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F50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Оптова, </w:t>
            </w:r>
            <w:proofErr w:type="spellStart"/>
            <w:r>
              <w:rPr>
                <w:rFonts w:ascii="Times New Roman CYR" w:hAnsi="Times New Roman CYR" w:cs="Times New Roman CYR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A3F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295113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86C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B19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6DEE0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21A6B260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D61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EF7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зберiгання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вiдпуск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знищення, використання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(списку 1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та списку 2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)"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наркотичних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психотропних речовин i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E6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116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94E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контролю за наркотиками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164D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13.08.2025</w:t>
            </w:r>
          </w:p>
        </w:tc>
      </w:tr>
      <w:tr w:rsidR="00502612" w14:paraId="45390230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C2A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2A5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ветеринарних </w:t>
            </w:r>
            <w:proofErr w:type="spellStart"/>
            <w:r>
              <w:rPr>
                <w:rFonts w:ascii="Times New Roman CYR" w:hAnsi="Times New Roman CYR" w:cs="Times New Roman CYR"/>
              </w:rPr>
              <w:t>медикаментiв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препаратiв,оптова,роздрiбна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ветеринарними медикаментами i препаратами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D82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583999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03A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A29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 ветеринарна та </w:t>
            </w:r>
            <w:proofErr w:type="spellStart"/>
            <w:r>
              <w:rPr>
                <w:rFonts w:ascii="Times New Roman CYR" w:hAnsi="Times New Roman CYR" w:cs="Times New Roman CYR"/>
              </w:rPr>
              <w:t>фiтосанiтарна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служба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4F45E3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21E8D93F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B46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439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Медична практика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CB3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АЕ571625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105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A4A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Мiнiстерство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охорони здоров'я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4EDEF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7DAD1192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FD2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CFD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Iмпорт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186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АЕ192412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9CA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11.03.2013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A05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7EC089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280C3CE6" w14:textId="77777777" w:rsidTr="009F6DB0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0B0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97C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Фiзико-хiмiчна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мiкробiологiчна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лабораторiя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B8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59F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1E5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09BFB5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78891B98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EF49778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352"/>
        <w:gridCol w:w="1260"/>
        <w:gridCol w:w="1292"/>
        <w:gridCol w:w="1260"/>
        <w:gridCol w:w="1433"/>
      </w:tblGrid>
      <w:tr w:rsidR="00502612" w14:paraId="69E3070C" w14:textId="77777777" w:rsidTr="00767166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BD2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0E0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587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20A83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502612" w14:paraId="4905C884" w14:textId="77777777" w:rsidTr="00767166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3DF0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EED3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F2654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4C1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90311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76351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59E07C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502612" w14:paraId="029D6623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A572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D6B6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FCCC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1 355 807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08A8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FA1B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7DF5D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90A883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1 355 807</w:t>
            </w:r>
          </w:p>
        </w:tc>
      </w:tr>
      <w:tr w:rsidR="00502612" w14:paraId="0AFF52CC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F73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4FF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945 197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87D5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939527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D803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B89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6578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945 197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44A1C8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939527</w:t>
            </w:r>
          </w:p>
        </w:tc>
      </w:tr>
      <w:tr w:rsidR="00502612" w14:paraId="2E26878F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8071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EDC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270 158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FCA02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232043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604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A79ED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4A8C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270 158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CA158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232043</w:t>
            </w:r>
          </w:p>
        </w:tc>
      </w:tr>
      <w:tr w:rsidR="00502612" w14:paraId="65DDDD52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439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C5B4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12 762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B7AC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12533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1089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237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B7CA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12 762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687F07" w14:textId="77777777" w:rsidR="00502612" w:rsidRPr="00FF6B98" w:rsidRDefault="0064150A" w:rsidP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12533</w:t>
            </w:r>
          </w:p>
        </w:tc>
      </w:tr>
      <w:tr w:rsidR="00502612" w14:paraId="5ED85DB7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925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0D1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151 782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C34B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151782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B8BC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EFBF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3825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151 782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0C167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151782</w:t>
            </w:r>
          </w:p>
        </w:tc>
      </w:tr>
      <w:tr w:rsidR="00502612" w14:paraId="5BFE6EFA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126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E692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13C7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19922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7084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4CC6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1316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587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43ED96" w14:textId="77777777" w:rsidR="00502612" w:rsidRPr="00FF6B98" w:rsidRDefault="0064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19922</w:t>
            </w:r>
          </w:p>
        </w:tc>
      </w:tr>
      <w:tr w:rsidR="00502612" w14:paraId="5AD8DE61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464B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83F3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DAAB9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4635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58A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48F1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53CC4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03E8DC73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0B6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31E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4430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BF46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D878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26C5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392FBA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78615378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CE2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14E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14D0A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7863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3C45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CF6C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E5074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0510793F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20E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E12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E385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6484D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636C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321F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C9F031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3EA5EF49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198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7963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F3AC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02D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1D83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01A8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0666C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594F05E8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AA3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0DD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12B73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D118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E31EE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316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393FBD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0636ADC0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283B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465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6F25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0C6F8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DDA8D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57D9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4E6CA" w14:textId="77777777" w:rsidR="00502612" w:rsidRPr="00FF6B98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2621A0E1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4547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88D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5722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1 355 807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8CE3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E2FD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EDEE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0C491" w14:textId="77777777" w:rsidR="00502612" w:rsidRPr="00FF6B98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F6B98">
              <w:rPr>
                <w:rFonts w:ascii="Times New Roman CYR" w:hAnsi="Times New Roman CYR" w:cs="Times New Roman CYR"/>
              </w:rPr>
              <w:t>1 355 807</w:t>
            </w:r>
          </w:p>
        </w:tc>
      </w:tr>
      <w:tr w:rsidR="00502612" w14:paraId="28A0CEF5" w14:textId="77777777" w:rsidTr="00767166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60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8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5FA05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 - </w:t>
            </w:r>
            <w:proofErr w:type="spellStart"/>
            <w:r>
              <w:rPr>
                <w:rFonts w:ascii="Times New Roman CYR" w:hAnsi="Times New Roman CYR" w:cs="Times New Roman CYR"/>
              </w:rPr>
              <w:t>допустимi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корисного використання 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1D978AE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</w:t>
            </w:r>
            <w:r w:rsidR="00A60C45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85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59B9144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засоби, машини та обладнання</w:t>
            </w:r>
            <w:r>
              <w:rPr>
                <w:rFonts w:ascii="Times New Roman CYR" w:hAnsi="Times New Roman CYR" w:cs="Times New Roman CYR"/>
              </w:rPr>
              <w:tab/>
              <w:t xml:space="preserve">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2C4B45B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Комп'ютерна </w:t>
            </w:r>
            <w:proofErr w:type="spellStart"/>
            <w:r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>
              <w:rPr>
                <w:rFonts w:ascii="Times New Roman CYR" w:hAnsi="Times New Roman CYR" w:cs="Times New Roman CYR"/>
              </w:rPr>
              <w:tab/>
              <w:t>2 роки</w:t>
            </w:r>
          </w:p>
          <w:p w14:paraId="5EBDCB6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</w:t>
            </w:r>
            <w:r>
              <w:rPr>
                <w:rFonts w:ascii="Times New Roman CYR" w:hAnsi="Times New Roman CYR" w:cs="Times New Roman CYR"/>
              </w:rPr>
              <w:tab/>
              <w:t xml:space="preserve">4-12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323207E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30.06.2024 р.:  2560345  тис. грн. </w:t>
            </w:r>
          </w:p>
          <w:p w14:paraId="446664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характеризується </w:t>
            </w:r>
            <w:proofErr w:type="spellStart"/>
            <w:r>
              <w:rPr>
                <w:rFonts w:ascii="Times New Roman CYR" w:hAnsi="Times New Roman CYR" w:cs="Times New Roman CYR"/>
              </w:rPr>
              <w:t>коефiцiєнтом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який розраховується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вiдношення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накопленого зносу до </w:t>
            </w:r>
            <w:proofErr w:type="spellStart"/>
            <w:r>
              <w:rPr>
                <w:rFonts w:ascii="Times New Roman CYR" w:hAnsi="Times New Roman CYR" w:cs="Times New Roman CYR"/>
              </w:rPr>
              <w:t>первiсної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 початок 2024 року складав 0,45 та за </w:t>
            </w:r>
            <w:proofErr w:type="spellStart"/>
            <w:r>
              <w:rPr>
                <w:rFonts w:ascii="Times New Roman CYR" w:hAnsi="Times New Roman CYR" w:cs="Times New Roman CYR"/>
              </w:rPr>
              <w:t>шiсть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мiсяцiв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закiнчилися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30 червня 2024 року - 0,47. </w:t>
            </w:r>
          </w:p>
          <w:p w14:paraId="272615A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 станом на 30.06.2024 р.: 1204538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B18E8B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засоби, що знаходяться на </w:t>
            </w:r>
            <w:proofErr w:type="spellStart"/>
            <w:r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залишковою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30.06.2024 р.: 1355807 тис. грн. використовуються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повному </w:t>
            </w:r>
            <w:proofErr w:type="spellStart"/>
            <w:r>
              <w:rPr>
                <w:rFonts w:ascii="Times New Roman CYR" w:hAnsi="Times New Roman CYR" w:cs="Times New Roman CYR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05A5119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ПАТ НВЦ "</w:t>
            </w:r>
            <w:proofErr w:type="spellStart"/>
            <w:r>
              <w:rPr>
                <w:rFonts w:ascii="Times New Roman CYR" w:hAnsi="Times New Roman CYR" w:cs="Times New Roman CYR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ХФЗ" станом на 30 червня 2024 року,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зобов'язань за кредитами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заставу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</w:tr>
    </w:tbl>
    <w:p w14:paraId="3C306592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7B56057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440"/>
        <w:gridCol w:w="1480"/>
        <w:gridCol w:w="1940"/>
        <w:gridCol w:w="1660"/>
      </w:tblGrid>
      <w:tr w:rsidR="00502612" w14:paraId="332D8387" w14:textId="77777777" w:rsidTr="00767166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DBC5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AA5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DFD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398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D1A7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502612" w14:paraId="20427E3D" w14:textId="77777777" w:rsidTr="00767166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974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525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9B7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DF1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D29F9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2CE72D67" w14:textId="77777777" w:rsidTr="00767166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BE2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18CFC3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0C290432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59FC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FB3E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6064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A03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7A916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0935E09C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BB9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3905C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502612" w14:paraId="64A4BD38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633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04B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516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629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092A3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4C0AEDD8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BED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7D2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AEC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4282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4F1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253F5629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588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708F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F6C6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9D9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13C9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4BC47495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37C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128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8BBB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9DF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29E1B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61BF9AD3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48F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784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5DB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FD1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360DE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3ECD761F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376E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65FF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D9A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C1B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A298D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05398CA3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683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EECF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6104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17 970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7AD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681D5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3AC03204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05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54F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9C2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15 027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CA9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63690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77DFDB38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977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F90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A0A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2 712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528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1DF4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30F76A0C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DC2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3BF4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F3C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07F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174D25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47B79587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0D8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AC3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82D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546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4225F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142D26C7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2E3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BDF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6847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239 432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4E45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486A9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02612" w14:paraId="7DB05CA6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5B9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Вiдстроченi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70C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C8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93 746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5B8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973E7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37156E64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568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17A5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E63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27 188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8F1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D885E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78139E22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CFE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18D4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482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2 813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7A9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225B41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6FE20FCC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702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F82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353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10 631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75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978BFC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3B0AD2B4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E95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одержаними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701F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3F3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3 925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CE4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FA8C7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415CC191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195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учасниками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8D4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8CE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79 221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9B3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4529AD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2F79F989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AAD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122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914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19 958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F12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80779F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1757D266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D0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5B15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E48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1 950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2BB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42DE5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029FC4EF" w14:textId="77777777" w:rsidTr="00767166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480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1E7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9B7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257 402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20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E14EF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4652BEE5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722843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02612" w:rsidSect="00FF6B98">
          <w:pgSz w:w="12240" w:h="15840"/>
          <w:pgMar w:top="570" w:right="720" w:bottom="570" w:left="720" w:header="708" w:footer="135" w:gutter="0"/>
          <w:cols w:space="720"/>
          <w:noEndnote/>
        </w:sectPr>
      </w:pPr>
    </w:p>
    <w:p w14:paraId="097F97B7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обсяги виробництва та реалізації основних видів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00"/>
        <w:gridCol w:w="2000"/>
        <w:gridCol w:w="2000"/>
        <w:gridCol w:w="2200"/>
        <w:gridCol w:w="2000"/>
        <w:gridCol w:w="2000"/>
        <w:gridCol w:w="2200"/>
      </w:tblGrid>
      <w:tr w:rsidR="00502612" w14:paraId="1DAB9004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EC073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C57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Основний вид продукції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4E7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виробництва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B0AB6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реалізованої продукції</w:t>
            </w:r>
          </w:p>
        </w:tc>
      </w:tr>
      <w:tr w:rsidR="00502612" w14:paraId="2E482063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C0B2E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623D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ABB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07A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EAE3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виробленої продукції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78C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12A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67B99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реалізованої продукції</w:t>
            </w:r>
          </w:p>
        </w:tc>
      </w:tr>
      <w:tr w:rsidR="00502612" w14:paraId="76E8199B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4ED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053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3EB0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A7F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681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B8E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715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06834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502612" w14:paraId="0A30408F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3A1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0B5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 </w:t>
            </w:r>
            <w:proofErr w:type="spellStart"/>
            <w:r>
              <w:rPr>
                <w:rFonts w:ascii="Times New Roman CYR" w:hAnsi="Times New Roman CYR" w:cs="Times New Roman CYR"/>
              </w:rPr>
              <w:t>незмiшанi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продукти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44D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8 719 668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F10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798210,6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A25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72,5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DD6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9 588 441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D2C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708508,3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18B04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73,3</w:t>
            </w:r>
          </w:p>
        </w:tc>
      </w:tr>
      <w:tr w:rsidR="00502612" w14:paraId="46A5C71D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659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5D0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антибiотики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AE7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9 370 508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95D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295359,4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A42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26,8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761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8 377 083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D34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204754,6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027D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21,2</w:t>
            </w:r>
          </w:p>
        </w:tc>
      </w:tr>
    </w:tbl>
    <w:p w14:paraId="60D4731B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150CF44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0261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242C323B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собівартість реалізованої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3300"/>
        <w:gridCol w:w="5900"/>
      </w:tblGrid>
      <w:tr w:rsidR="00502612" w14:paraId="0B36718A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C2B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088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Склад витрат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ACB8B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від загальної собівартості реалізованої продукції (у відсотках)</w:t>
            </w:r>
          </w:p>
        </w:tc>
      </w:tr>
      <w:tr w:rsidR="00502612" w14:paraId="63F30CBD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E6BB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0D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1C6F9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502612" w14:paraId="0100EC27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90A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BA1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Матерiали</w:t>
            </w:r>
            <w:proofErr w:type="spellEnd"/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9D4F8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62,7</w:t>
            </w:r>
          </w:p>
        </w:tc>
      </w:tr>
      <w:tr w:rsidR="00502612" w14:paraId="6CC02730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3C4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6A4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змiннi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2DCA8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17,5</w:t>
            </w:r>
          </w:p>
        </w:tc>
      </w:tr>
      <w:tr w:rsidR="00502612" w14:paraId="495B4058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3D7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072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постiйнi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812AF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</w:tbl>
    <w:p w14:paraId="4CC0435D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E526FF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02612" w14:paraId="765A7F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C0C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2733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502612" w14:paraId="42024EC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D3C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27C01F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4D4041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5F1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10BD6F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62A23C5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DCD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FCB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502612" w14:paraId="174E46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8C6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15CB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502612" w14:paraId="216FD4A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9EC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4C5BF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04071,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502612" w14:paraId="68D774E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51D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7ABDF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02612" w14:paraId="3916817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25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DC5B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02612" w14:paraId="58CE77D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0AA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31F8F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08B67E4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F9C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96012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044 363 04 00</w:t>
            </w:r>
          </w:p>
        </w:tc>
      </w:tr>
      <w:tr w:rsidR="00502612" w14:paraId="2F75629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0B4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BAAAA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1832CEE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7038006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502612" w14:paraId="52FD77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F52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4EBEE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60CD5290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02612" w14:paraId="492C7C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4F8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28D97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"Бейкер </w:t>
            </w:r>
            <w:proofErr w:type="spellStart"/>
            <w:r>
              <w:rPr>
                <w:rFonts w:ascii="Times New Roman CYR" w:hAnsi="Times New Roman CYR" w:cs="Times New Roman CYR"/>
              </w:rPr>
              <w:t>Тiллi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Україна"</w:t>
            </w:r>
          </w:p>
        </w:tc>
      </w:tr>
      <w:tr w:rsidR="00502612" w14:paraId="27F11FE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8BA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552A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745B0D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643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C919E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2E7140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1C0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B0D1E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502612" w14:paraId="469F11D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65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B0EDC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30373906</w:t>
            </w:r>
          </w:p>
        </w:tc>
      </w:tr>
      <w:tr w:rsidR="00502612" w14:paraId="059074E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F69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CFE9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04112, Україна, м. Київ, вул. Грекова, 3, квартира 9</w:t>
            </w:r>
          </w:p>
        </w:tc>
      </w:tr>
      <w:tr w:rsidR="00502612" w14:paraId="672A86B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674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50DA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02612" w14:paraId="41D8AD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887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A29FC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02612" w14:paraId="0EC70E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721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A5FC2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64F4424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759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CDF31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044 284 18 65</w:t>
            </w:r>
          </w:p>
        </w:tc>
      </w:tr>
      <w:tr w:rsidR="00502612" w14:paraId="5FCC557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689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9B39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консультування з питань оподаткування</w:t>
            </w:r>
          </w:p>
        </w:tc>
      </w:tr>
      <w:tr w:rsidR="00502612" w14:paraId="589D31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ADD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8BAA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>. Надання аудиторських послуг</w:t>
            </w:r>
          </w:p>
        </w:tc>
      </w:tr>
    </w:tbl>
    <w:p w14:paraId="217147CD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02612" w14:paraId="78B2A7B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546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9E872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"Кредит-рейтинг"</w:t>
            </w:r>
          </w:p>
        </w:tc>
      </w:tr>
      <w:tr w:rsidR="00502612" w14:paraId="4FBEDE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460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03902D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6FEB49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1C7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8DD3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063500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727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B5240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502612" w14:paraId="07D603C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EF8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F51E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31752402</w:t>
            </w:r>
          </w:p>
        </w:tc>
      </w:tr>
      <w:tr w:rsidR="00502612" w14:paraId="7FA8613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C2A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4881C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04070,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Верхнiй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Вал, 72</w:t>
            </w:r>
          </w:p>
        </w:tc>
      </w:tr>
      <w:tr w:rsidR="00502612" w14:paraId="7E58C1D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BA0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3C3F6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502612" w14:paraId="3F9D88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E94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2FAA1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502612" w14:paraId="6517B54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326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3F5C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10.04.2012</w:t>
            </w:r>
          </w:p>
        </w:tc>
      </w:tr>
      <w:tr w:rsidR="00502612" w14:paraId="43D4CE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EED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84484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044 490 25 50</w:t>
            </w:r>
          </w:p>
        </w:tc>
      </w:tr>
      <w:tr w:rsidR="00502612" w14:paraId="56D5619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5CD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0CA6F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</w:p>
          <w:p w14:paraId="326E919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кон'юнктури ринку та виявлення громадської думки</w:t>
            </w:r>
          </w:p>
        </w:tc>
      </w:tr>
      <w:tr w:rsidR="00502612" w14:paraId="4EC773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EB9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6D99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Рейтингова </w:t>
            </w: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</w:p>
        </w:tc>
      </w:tr>
    </w:tbl>
    <w:p w14:paraId="54A579BD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02612" w14:paraId="0C17F4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3BD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1CFA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Iвекс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502612" w14:paraId="268ED4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EA3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9B295E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78D33D4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B10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D05ED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713255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278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441F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502612" w14:paraId="38D3A6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1EC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63056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21600862</w:t>
            </w:r>
          </w:p>
        </w:tc>
      </w:tr>
      <w:tr w:rsidR="00502612" w14:paraId="49BE5B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94E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B497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01021, Україна, м. Київ, Кловський </w:t>
            </w:r>
            <w:proofErr w:type="spellStart"/>
            <w:r>
              <w:rPr>
                <w:rFonts w:ascii="Times New Roman CYR" w:hAnsi="Times New Roman CYR" w:cs="Times New Roman CYR"/>
              </w:rPr>
              <w:t>узвiз</w:t>
            </w:r>
            <w:proofErr w:type="spellEnd"/>
            <w:r>
              <w:rPr>
                <w:rFonts w:ascii="Times New Roman CYR" w:hAnsi="Times New Roman CYR" w:cs="Times New Roman CYR"/>
              </w:rPr>
              <w:t>, 7</w:t>
            </w:r>
          </w:p>
        </w:tc>
      </w:tr>
      <w:tr w:rsidR="00502612" w14:paraId="69351A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43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84B7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286639</w:t>
            </w:r>
          </w:p>
        </w:tc>
      </w:tr>
      <w:tr w:rsidR="00502612" w14:paraId="103E630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93A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0E9A3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502612" w14:paraId="299919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EED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FC8C2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10.10.2013</w:t>
            </w:r>
          </w:p>
        </w:tc>
      </w:tr>
      <w:tr w:rsidR="00502612" w14:paraId="31A0C5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1DC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787EA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044 590 54 54</w:t>
            </w:r>
          </w:p>
        </w:tc>
      </w:tr>
      <w:tr w:rsidR="00502612" w14:paraId="05658A5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2AC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34F78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Надання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забезпечення), н. в. i.</w:t>
            </w:r>
          </w:p>
          <w:p w14:paraId="4908D6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66.12 - Посередництво за договорами по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або товарах</w:t>
            </w:r>
          </w:p>
          <w:p w14:paraId="7307982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</w:tr>
      <w:tr w:rsidR="00502612" w14:paraId="3FD2397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8BB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1D05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депозитарна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депозитарної установи</w:t>
            </w:r>
          </w:p>
        </w:tc>
      </w:tr>
    </w:tbl>
    <w:p w14:paraId="7EF2D22E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02612" w14:paraId="348F25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340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B60FF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Агенцiя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консалтингових послуг"</w:t>
            </w:r>
          </w:p>
        </w:tc>
      </w:tr>
      <w:tr w:rsidR="00502612" w14:paraId="180FD8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ADD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64709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1D0A6CC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0A8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5AEB87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73DE4BC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630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417B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502612" w14:paraId="1FB6AA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EC2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C611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36557752</w:t>
            </w:r>
          </w:p>
        </w:tc>
      </w:tr>
      <w:tr w:rsidR="00502612" w14:paraId="78AC38D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414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D0EC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02068, Україна, м. Київ, вул. Олени </w:t>
            </w:r>
            <w:proofErr w:type="spellStart"/>
            <w:r>
              <w:rPr>
                <w:rFonts w:ascii="Times New Roman CYR" w:hAnsi="Times New Roman CYR" w:cs="Times New Roman CYR"/>
              </w:rPr>
              <w:t>Пчiлки</w:t>
            </w:r>
            <w:proofErr w:type="spellEnd"/>
            <w:r>
              <w:rPr>
                <w:rFonts w:ascii="Times New Roman CYR" w:hAnsi="Times New Roman CYR" w:cs="Times New Roman CYR"/>
              </w:rPr>
              <w:t>, 2-Б</w:t>
            </w:r>
          </w:p>
        </w:tc>
      </w:tr>
      <w:tr w:rsidR="00502612" w14:paraId="2925628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50F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444C0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16050/14</w:t>
            </w:r>
          </w:p>
        </w:tc>
      </w:tr>
      <w:tr w:rsidR="00502612" w14:paraId="339197A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295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37D27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Фонд державного майна України</w:t>
            </w:r>
          </w:p>
        </w:tc>
      </w:tr>
      <w:tr w:rsidR="00502612" w14:paraId="33324B6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216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28C0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18.02.2014</w:t>
            </w:r>
          </w:p>
        </w:tc>
      </w:tr>
      <w:tr w:rsidR="00502612" w14:paraId="576C15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48A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6AB7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044 332 77 23</w:t>
            </w:r>
          </w:p>
        </w:tc>
      </w:tr>
      <w:tr w:rsidR="00502612" w14:paraId="46CD1C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78B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EDA4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01E9AE8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85.59 -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види </w:t>
            </w:r>
            <w:proofErr w:type="spellStart"/>
            <w:r>
              <w:rPr>
                <w:rFonts w:ascii="Times New Roman CYR" w:hAnsi="Times New Roman CYR" w:cs="Times New Roman CYR"/>
              </w:rPr>
              <w:t>освiти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CD9B3A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502612" w14:paraId="572AE3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8C8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595A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необоротних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</w:p>
        </w:tc>
      </w:tr>
    </w:tbl>
    <w:p w14:paraId="23621DE4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02612" w14:paraId="50B9A57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DE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81E1A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УСТАНОВА "АГЕНТСТВО З РОЗВИТКУ IНФРАСТРУКТУРИ ФОНДОВОГО РИНКУ УКРАЇНИ"</w:t>
            </w:r>
          </w:p>
        </w:tc>
      </w:tr>
      <w:tr w:rsidR="00502612" w14:paraId="7A50E00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C1F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40FDA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37959A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C5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89415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23410E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0AC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5B2FA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502612" w14:paraId="3311A7D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B72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7270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502612" w14:paraId="78E4B1F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AA9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D384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м. Київ, вул. Антоновича, буд. 51,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1206</w:t>
            </w:r>
          </w:p>
        </w:tc>
      </w:tr>
      <w:tr w:rsidR="00502612" w14:paraId="0432971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371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9FF4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02612" w14:paraId="32E23A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25F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F56D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02612" w14:paraId="761F34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877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C61C2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4F7221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A65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5113D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044 287-56-70</w:t>
            </w:r>
          </w:p>
        </w:tc>
      </w:tr>
      <w:tr w:rsidR="00502612" w14:paraId="39432F9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C22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04FDE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1F8C902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6E832C3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502612" w14:paraId="0257CE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7AF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B17A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7DABBD62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08D48C6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72D9B31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0261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BA7504F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502612" w14:paraId="6F4DAA1A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C0D8A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D63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Повне найменування юридичної особи, в </w:t>
            </w:r>
            <w:proofErr w:type="spellStart"/>
            <w:r>
              <w:rPr>
                <w:rFonts w:ascii="Times New Roman CYR" w:hAnsi="Times New Roman CYR" w:cs="Times New Roman CYR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ABE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 юридичної особи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E197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3A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 (у відсотках)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408C2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502612" w14:paraId="65CE5522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83A3E8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3A38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ED8D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F199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4DF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50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FF1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2504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02612" w14:paraId="3A6DD83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F30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C798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56E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C9B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2FC8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E889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B79C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A939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502612" w14:paraId="3A6A014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51D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07E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"ГЛОБАЛIС"</w:t>
            </w:r>
          </w:p>
          <w:p w14:paraId="4B156F2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030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Україна, 61054,Харкiвська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Харкiв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вул.Павлова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Академiка</w:t>
            </w:r>
            <w:proofErr w:type="spellEnd"/>
            <w:r>
              <w:rPr>
                <w:rFonts w:ascii="Times New Roman CYR" w:hAnsi="Times New Roman CYR" w:cs="Times New Roman CYR"/>
              </w:rPr>
              <w:t>, будинок 271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78F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24735858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EC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F41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81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78769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895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502612" w14:paraId="70E06220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ED4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E43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АКЦIОНЕРНЕ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Лубнифарм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  <w:p w14:paraId="79606A7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8E6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37500, Полтавська, Лубенський, м. Лубни, </w:t>
            </w:r>
            <w:proofErr w:type="spellStart"/>
            <w:r>
              <w:rPr>
                <w:rFonts w:ascii="Times New Roman CYR" w:hAnsi="Times New Roman CYR" w:cs="Times New Roman CYR"/>
              </w:rPr>
              <w:t>Барвiнкова</w:t>
            </w:r>
            <w:proofErr w:type="spellEnd"/>
            <w:r>
              <w:rPr>
                <w:rFonts w:ascii="Times New Roman CYR" w:hAnsi="Times New Roman CYR" w:cs="Times New Roman CYR"/>
              </w:rPr>
              <w:t>, 16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C9F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00480951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5D6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2FD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867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999B1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3,6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502612" w14:paraId="3863E988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677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84E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Enterprise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with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foreign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investment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Limited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liability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company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"KORVITA-FARM"</w:t>
            </w:r>
          </w:p>
          <w:p w14:paraId="3276FDD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Іноземне підприємство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070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Республiка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Узбекистан, </w:t>
            </w:r>
            <w:proofErr w:type="spellStart"/>
            <w:r>
              <w:rPr>
                <w:rFonts w:ascii="Times New Roman CYR" w:hAnsi="Times New Roman CYR" w:cs="Times New Roman CYR"/>
              </w:rPr>
              <w:t>м.Ташкент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Мирзо-Улугбекський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район, </w:t>
            </w:r>
            <w:proofErr w:type="spellStart"/>
            <w:r>
              <w:rPr>
                <w:rFonts w:ascii="Times New Roman CYR" w:hAnsi="Times New Roman CYR" w:cs="Times New Roman CYR"/>
              </w:rPr>
              <w:t>вул.Бозбозор</w:t>
            </w:r>
            <w:proofErr w:type="spellEnd"/>
            <w:r>
              <w:rPr>
                <w:rFonts w:ascii="Times New Roman CYR" w:hAnsi="Times New Roman CYR" w:cs="Times New Roman CYR"/>
              </w:rPr>
              <w:t>, 7 проїзд, б.21.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D8D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207160488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3BA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27D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AA8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311E4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121 500 USD</w:t>
            </w:r>
          </w:p>
        </w:tc>
      </w:tr>
      <w:tr w:rsidR="00502612" w14:paraId="5CDEA62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C86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8BA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СПIЛЬНЕ УКРАЇНСЬКО-КИТАЙСЬКЕ ФАРМАЦЕВТИЧНЕ ПIДПРИЄМСТВО ДРУЖБА У ФОРМI ТОВАРИСТВА З ОБМЕЖЕНОЮ ВIДПОВIДАЛЬНIСТЮ</w:t>
            </w:r>
          </w:p>
          <w:p w14:paraId="522E981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345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 xml:space="preserve">Україна, 03134,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Київ, вулиця Миру, будинок 17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33C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22966743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B71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6D4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361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93603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 тис. грн.</w:t>
            </w:r>
          </w:p>
        </w:tc>
      </w:tr>
    </w:tbl>
    <w:p w14:paraId="6498D1ED" w14:textId="3706E48E" w:rsidR="00650EC8" w:rsidRDefault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7ADDAD" w14:textId="77777777" w:rsidR="00650EC8" w:rsidRDefault="00650EC8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55BA4DEF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502612" w14:paraId="5547D83B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CA5A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1EF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BA6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B36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F6207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502612" w14:paraId="25ECEC0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445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E56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9F55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D32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0FDF0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502612" w14:paraId="11358828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E7D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603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МОЛДОВА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D67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C637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Молдова, Республіка, MD-20,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Кишинiв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B12DC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Молдова - тимчасово призупинена</w:t>
            </w:r>
          </w:p>
        </w:tc>
      </w:tr>
      <w:tr w:rsidR="00502612" w14:paraId="562169D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512D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9CD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КАЗАХСТАН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BCF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3A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Казахстан, 05006, м. Алмати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9494E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</w:t>
            </w:r>
          </w:p>
        </w:tc>
      </w:tr>
      <w:tr w:rsidR="00502612" w14:paraId="68431D2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239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14F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УЗБЕКИСТАН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DA31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8A0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Узбекистан, 10007, м. Ташкент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897B1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Узбекистан</w:t>
            </w:r>
          </w:p>
        </w:tc>
      </w:tr>
      <w:tr w:rsidR="00502612" w14:paraId="533C30C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5E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171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У ХАНОЇ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EAE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860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В'єтнам, м. Ханой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B78A2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у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Соцiалiстичнiй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В'єтнам (м. Ханой) - тимчасово призупинена</w:t>
            </w:r>
          </w:p>
        </w:tc>
      </w:tr>
    </w:tbl>
    <w:p w14:paraId="4727C24B" w14:textId="4DA8DE74" w:rsidR="00650EC8" w:rsidRDefault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26AD7B6" w14:textId="77777777" w:rsidR="00650EC8" w:rsidRDefault="00650EC8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br w:type="page"/>
      </w:r>
    </w:p>
    <w:p w14:paraId="5B55911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7CABCAA9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Цінні папери</w:t>
      </w:r>
    </w:p>
    <w:p w14:paraId="658AB52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502612" w14:paraId="07CA9712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411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7B8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D84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639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BB59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1D62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FC9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5BD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7D33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AE38E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502612" w14:paraId="30024F9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23F2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2B5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535C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E29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6F0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D897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0C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21F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4D34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39EB3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502612" w14:paraId="31FCA89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11D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877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F84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A4A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45C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C19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E5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939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C49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FB33B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502612" w14:paraId="4D52FF7F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5A0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1A985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 </w:t>
            </w:r>
            <w:proofErr w:type="spellStart"/>
            <w:r>
              <w:rPr>
                <w:rFonts w:ascii="Times New Roman CYR" w:hAnsi="Times New Roman CYR" w:cs="Times New Roman CYR"/>
              </w:rPr>
              <w:t>неорганiзованому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/ 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04208654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ECDFA29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502612" w14:paraId="65F56188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F93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EC83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796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84A68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502612" w14:paraId="7D357B27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8C2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782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7804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022D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02612" w14:paraId="3FF5FA54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7A5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FC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E05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70FF1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</w:tbl>
    <w:p w14:paraId="5A914979" w14:textId="77777777" w:rsidR="00767166" w:rsidRDefault="00767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2BC8273" w14:textId="37E25D93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502612" w14:paraId="47BE5E5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0E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62A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040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E0B5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6C1E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BF8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C7D83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502612" w14:paraId="53B23826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7125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99E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BCD2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F41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E24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D14F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EAFB29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502612" w14:paraId="61AF371B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E52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800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606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999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329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BB5F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Заборонити з 00 год 00 хв. 26.09.2023р.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а саме: вчинення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фiрмами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товариств, пов'язаних з переходом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i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Постановою НКЦПФР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30.05.2024 № 683 виключили ПАТ НВЦ "</w:t>
            </w:r>
            <w:proofErr w:type="spellStart"/>
            <w:r>
              <w:rPr>
                <w:rFonts w:ascii="Times New Roman CYR" w:hAnsi="Times New Roman CYR" w:cs="Times New Roman CYR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ХФЗ" з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товариств, яким з 26.09.2023р. </w:t>
            </w:r>
            <w:proofErr w:type="spellStart"/>
            <w:r>
              <w:rPr>
                <w:rFonts w:ascii="Times New Roman CYR" w:hAnsi="Times New Roman CYR" w:cs="Times New Roman CYR"/>
              </w:rPr>
              <w:t>зупинено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системи депозитарного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затвердженого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25.09.2023 № 1063 "Щодо зупинення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системи депозитарного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>".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9BE50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до усунення порушень вимог законодавства в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2021 та 2022 роках.</w:t>
            </w:r>
          </w:p>
        </w:tc>
      </w:tr>
      <w:tr w:rsidR="00502612" w14:paraId="0597B50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EBBD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1D7ED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Рішення суду або уповноваженого державного органу, яким накладено обмеження: № 1064 від 25.09.2023</w:t>
            </w:r>
          </w:p>
        </w:tc>
      </w:tr>
      <w:tr w:rsidR="00502612" w14:paraId="695C0FD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ACD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02D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84D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EF7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8D6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CAA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4A186C9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0A048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паперах.</w:t>
            </w:r>
          </w:p>
        </w:tc>
      </w:tr>
      <w:tr w:rsidR="00502612" w14:paraId="4BC4808C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C8A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2DAE6" w14:textId="77777777" w:rsidR="00502612" w:rsidRDefault="005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4C845047" w14:textId="334F8811" w:rsidR="00650EC8" w:rsidRDefault="00650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D23C731" w14:textId="77777777" w:rsidR="00650EC8" w:rsidRDefault="00650EC8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04D9D1BA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B08905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502612" w14:paraId="0008D7C9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CCD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3F2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FD71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673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7749C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82A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1B0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1B7E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502612" w14:paraId="4336BE64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FCB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D788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CE1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B89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C648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7AB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BD87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67CD2A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502612" w14:paraId="3B889FC9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DF04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6A6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E17B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0825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52D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4B42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10 346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FE51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E12D03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02612" w14:paraId="1AE18BB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B7BE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A39FB6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1E32B8A0" w14:textId="77777777" w:rsidR="00502612" w:rsidRDefault="006F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59BAEC03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FD0FD2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0261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7154D83B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5EF853D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Проміжна фінансова звітність</w:t>
      </w:r>
    </w:p>
    <w:p w14:paraId="77B4EAB7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на https://bcpp.com.ua/shareholders</w:t>
      </w:r>
    </w:p>
    <w:p w14:paraId="729D7499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звiтнiстi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>) https://bcpp.com.ua/files/protocol/zvit_2024/II/2q2024_23518596%20%D0%BE%D0%BA%D1%80%D0%B5%D0%BC%D0%B0.zip</w:t>
      </w:r>
    </w:p>
    <w:p w14:paraId="1D8F172E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>)  2q2024_23518596 окрема.zip</w:t>
      </w:r>
    </w:p>
    <w:p w14:paraId="15791475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) 49,9 КБ (51 127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>)</w:t>
      </w:r>
    </w:p>
    <w:p w14:paraId="611290B0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20459505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 xml:space="preserve">8198BA83DF54E5079480146A990B1F25C6B1D2C862D62C14ED063C52608A9A6A </w:t>
      </w:r>
    </w:p>
    <w:p w14:paraId="28729591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на https://portal.frs.gov.ua/PublicData/PublicDataSubmissionPack.aspx?submission_pack_version_id=135479</w:t>
      </w:r>
    </w:p>
    <w:p w14:paraId="4EE0B0B8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файлу  2q2024_23518596.html</w:t>
      </w:r>
    </w:p>
    <w:p w14:paraId="1CE862E7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файлу 292 КБ (299 995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>)</w:t>
      </w:r>
    </w:p>
    <w:p w14:paraId="1A270C84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6717DA33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>5D44B9556BE566E57EA57164EB92B3496D2F60E75B7A874A36A2489727E903D3</w:t>
      </w:r>
    </w:p>
    <w:p w14:paraId="191AC3DA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D83632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на https://bcpp.com.ua/shareholders</w:t>
      </w:r>
    </w:p>
    <w:p w14:paraId="2BA3F841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звiтнiстi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>) https://bcpp.com.ua/files/protocol/zvit_2024/II/2q2024_23518596%20%D0%BA%D0%BE%D0%BD%D1%81..zip</w:t>
      </w:r>
    </w:p>
    <w:p w14:paraId="4C779228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)  2q2024_23518596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конс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zip</w:t>
      </w:r>
      <w:proofErr w:type="spellEnd"/>
    </w:p>
    <w:p w14:paraId="222ED962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)  53,8 КБ (55 184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>)</w:t>
      </w:r>
    </w:p>
    <w:p w14:paraId="7A5637B3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58A3C995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 xml:space="preserve">503A1CD020F2D21E5A393E2847C07648CF0F7F3AB8BD0A7FB7EF38604AD76BEC </w:t>
      </w:r>
    </w:p>
    <w:p w14:paraId="1E794733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на https://portal.frs.gov.ua/PublicData/PublicDataSubmissionPack.aspx?submission_pack_version_id=154050</w:t>
      </w:r>
    </w:p>
    <w:p w14:paraId="2DAD42D9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файлу  2q2024_23518596.html</w:t>
      </w:r>
    </w:p>
    <w:p w14:paraId="6AEA5812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 xml:space="preserve"> файлу 326 КБ (334 772 </w:t>
      </w:r>
      <w:proofErr w:type="spellStart"/>
      <w:r w:rsidRPr="00767166"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 w:rsidRPr="00767166">
        <w:rPr>
          <w:rFonts w:ascii="Times New Roman CYR" w:hAnsi="Times New Roman CYR" w:cs="Times New Roman CYR"/>
          <w:sz w:val="24"/>
          <w:szCs w:val="24"/>
        </w:rPr>
        <w:t>)</w:t>
      </w:r>
    </w:p>
    <w:p w14:paraId="3B419131" w14:textId="77777777" w:rsidR="00767166" w:rsidRPr="00767166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5D6BD8F2" w14:textId="77777777" w:rsidR="00502612" w:rsidRDefault="00767166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767166">
        <w:rPr>
          <w:rFonts w:ascii="Times New Roman CYR" w:hAnsi="Times New Roman CYR" w:cs="Times New Roman CYR"/>
          <w:sz w:val="24"/>
          <w:szCs w:val="24"/>
        </w:rPr>
        <w:t>68A9B1814A3F6253B4965694560E0A0DD55406441BFC69650F23FAF45A89B9A7</w:t>
      </w:r>
    </w:p>
    <w:p w14:paraId="0D6E9515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59FFF2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Твердження щодо проміжної інформації</w:t>
      </w:r>
    </w:p>
    <w:p w14:paraId="25BCE56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2-й квартал 2024 року,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 червня 2024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важливих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AB91E8B" w14:textId="309D50EC" w:rsidR="00650EC8" w:rsidRDefault="00650EC8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0AD5A5F2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IV. Нефінансова інформація</w:t>
      </w:r>
    </w:p>
    <w:p w14:paraId="414BFA86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Проміжний звіт керівництва</w:t>
      </w:r>
    </w:p>
    <w:p w14:paraId="1AD6B6B5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3A2BF0EE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42C6B69F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C58DBA2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57EEC8F1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7E9F9F63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B29100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діяльності особи</w:t>
      </w:r>
    </w:p>
    <w:p w14:paraId="79718689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Важливих для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(2 квартал 2024 р.)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343384C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мали 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4D37F46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суттєвий вплив на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становище. Зокрема,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припинення або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судових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0C654BC" w14:textId="77777777" w:rsidR="00502612" w:rsidRDefault="0050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AD5B88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4C9D42D4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Українське законодавство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що регулюють сферу оподаткування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валютний контроль i митне законодавство, продовжують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Положення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нормативних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зазвичай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нечiткими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i трактуються по-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державними органами,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урядовими установами. Випадки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розбiжностей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трактуваннi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є непоодинокими. </w:t>
      </w:r>
    </w:p>
    <w:p w14:paraId="4819915D" w14:textId="77777777" w:rsidR="00502612" w:rsidRDefault="006F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у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трансфертного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широкої судової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застосування українськими податковими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трансфертним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контрольованих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послуг.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додаткових податкових зобов'язань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можуть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податку на прибуток. </w:t>
      </w:r>
    </w:p>
    <w:p w14:paraId="17EA682A" w14:textId="77777777" w:rsidR="006F49F4" w:rsidRDefault="006F49F4" w:rsidP="00767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що регулює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що Група нарахувала та сплатила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податки та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серйознi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аргументи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претензiй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Однак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органи не матимуть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щодо виконання Групою вимог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податкового законодавства.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не створювало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донарахування податкових зобов'язань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врегулювання таких податкових зобов'язань можливий, але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малоймовiрним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sectPr w:rsidR="006F49F4" w:rsidSect="00912637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E455" w14:textId="77777777" w:rsidR="003847CF" w:rsidRDefault="003847CF" w:rsidP="00FF6B98">
      <w:pPr>
        <w:spacing w:after="0" w:line="240" w:lineRule="auto"/>
      </w:pPr>
      <w:r>
        <w:separator/>
      </w:r>
    </w:p>
  </w:endnote>
  <w:endnote w:type="continuationSeparator" w:id="0">
    <w:p w14:paraId="60BAD3E4" w14:textId="77777777" w:rsidR="003847CF" w:rsidRDefault="003847CF" w:rsidP="00FF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136108"/>
      <w:docPartObj>
        <w:docPartGallery w:val="Page Numbers (Bottom of Page)"/>
        <w:docPartUnique/>
      </w:docPartObj>
    </w:sdtPr>
    <w:sdtEndPr/>
    <w:sdtContent>
      <w:p w14:paraId="79FDD114" w14:textId="671A0EE6" w:rsidR="00FF6B98" w:rsidRDefault="00FF6B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3F2B7" w14:textId="77777777" w:rsidR="00FF6B98" w:rsidRDefault="00FF6B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87AE" w14:textId="77777777" w:rsidR="003847CF" w:rsidRDefault="003847CF" w:rsidP="00FF6B98">
      <w:pPr>
        <w:spacing w:after="0" w:line="240" w:lineRule="auto"/>
      </w:pPr>
      <w:r>
        <w:separator/>
      </w:r>
    </w:p>
  </w:footnote>
  <w:footnote w:type="continuationSeparator" w:id="0">
    <w:p w14:paraId="2ABB6B66" w14:textId="77777777" w:rsidR="003847CF" w:rsidRDefault="003847CF" w:rsidP="00FF6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B0"/>
    <w:rsid w:val="000D2634"/>
    <w:rsid w:val="00133C21"/>
    <w:rsid w:val="002041CE"/>
    <w:rsid w:val="002B12D7"/>
    <w:rsid w:val="002E0ED5"/>
    <w:rsid w:val="0031106E"/>
    <w:rsid w:val="003847CF"/>
    <w:rsid w:val="00502612"/>
    <w:rsid w:val="00536732"/>
    <w:rsid w:val="00584FB9"/>
    <w:rsid w:val="005B024D"/>
    <w:rsid w:val="00624433"/>
    <w:rsid w:val="0064150A"/>
    <w:rsid w:val="00650EC8"/>
    <w:rsid w:val="006F49F4"/>
    <w:rsid w:val="00767166"/>
    <w:rsid w:val="00771250"/>
    <w:rsid w:val="007B2107"/>
    <w:rsid w:val="008C4DEB"/>
    <w:rsid w:val="00912637"/>
    <w:rsid w:val="009F6DB0"/>
    <w:rsid w:val="00A13855"/>
    <w:rsid w:val="00A60C45"/>
    <w:rsid w:val="00AB2040"/>
    <w:rsid w:val="00AE10CF"/>
    <w:rsid w:val="00CC47F0"/>
    <w:rsid w:val="00EE10D2"/>
    <w:rsid w:val="00F53F63"/>
    <w:rsid w:val="00FE2B73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61597"/>
  <w15:docId w15:val="{0831C587-2631-4B59-B43E-BB0DD6B6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B98"/>
  </w:style>
  <w:style w:type="paragraph" w:styleId="a5">
    <w:name w:val="footer"/>
    <w:basedOn w:val="a"/>
    <w:link w:val="a6"/>
    <w:uiPriority w:val="99"/>
    <w:unhideWhenUsed/>
    <w:rsid w:val="00FF6B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AB60C-78E6-429E-997D-87D2C3D5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35</Pages>
  <Words>52546</Words>
  <Characters>29952</Characters>
  <Application>Microsoft Office Word</Application>
  <DocSecurity>0</DocSecurity>
  <Lines>249</Lines>
  <Paragraphs>164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cp:lastPrinted>2025-12-17T13:42:00Z</cp:lastPrinted>
  <dcterms:created xsi:type="dcterms:W3CDTF">2025-12-18T10:01:00Z</dcterms:created>
  <dcterms:modified xsi:type="dcterms:W3CDTF">2025-12-18T10:01:00Z</dcterms:modified>
</cp:coreProperties>
</file>